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righ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附件一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43" name="图片 43" descr="微信图片_2019012408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微信图片_201901240817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0" w:leftChars="0" w:firstLine="0" w:firstLineChars="0"/>
        <w:jc w:val="center"/>
        <w:rPr>
          <w:rFonts w:hint="eastAsia"/>
          <w:lang w:eastAsia="zh-CN"/>
        </w:rPr>
      </w:pPr>
    </w:p>
    <w:p>
      <w:pPr>
        <w:jc w:val="center"/>
        <w:rPr>
          <w:rFonts w:hint="eastAsia"/>
          <w:lang w:eastAsia="zh-CN"/>
        </w:rPr>
      </w:pPr>
    </w:p>
    <w:p>
      <w:pPr>
        <w:pStyle w:val="10"/>
        <w:ind w:left="0" w:leftChars="0" w:firstLine="0" w:firstLineChars="0"/>
        <w:rPr>
          <w:rFonts w:hint="eastAsia"/>
          <w:lang w:eastAsia="zh-CN"/>
        </w:rPr>
      </w:pPr>
    </w:p>
    <w:p>
      <w:pPr>
        <w:spacing w:line="360" w:lineRule="auto"/>
        <w:jc w:val="right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spacing w:line="360" w:lineRule="auto"/>
        <w:jc w:val="right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spacing w:line="360" w:lineRule="auto"/>
        <w:jc w:val="right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spacing w:line="360" w:lineRule="auto"/>
        <w:jc w:val="right"/>
        <w:rPr>
          <w:rFonts w:hint="eastAsia" w:ascii="黑体" w:hAnsi="黑体" w:eastAsia="黑体" w:cs="黑体"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sz w:val="24"/>
          <w:szCs w:val="24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48" name="图片 48" descr="微信图片_2019012408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微信图片_201901240818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right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spacing w:line="360" w:lineRule="auto"/>
        <w:jc w:val="right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spacing w:line="360" w:lineRule="auto"/>
        <w:jc w:val="right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spacing w:line="360" w:lineRule="auto"/>
        <w:jc w:val="right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spacing w:line="360" w:lineRule="auto"/>
        <w:jc w:val="both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spacing w:line="360" w:lineRule="auto"/>
        <w:jc w:val="right"/>
        <w:rPr>
          <w:rFonts w:hint="eastAsia" w:ascii="黑体" w:hAnsi="黑体" w:eastAsia="黑体" w:cs="黑体"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sz w:val="24"/>
          <w:szCs w:val="24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55" name="图片 55" descr="微信图片_2019012408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微信图片_201901240818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right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spacing w:line="360" w:lineRule="auto"/>
        <w:jc w:val="right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spacing w:line="360" w:lineRule="auto"/>
        <w:jc w:val="right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spacing w:line="360" w:lineRule="auto"/>
        <w:jc w:val="righ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附件二</w:t>
      </w:r>
    </w:p>
    <w:p>
      <w:pPr>
        <w:pStyle w:val="4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jc w:val="center"/>
        <w:rPr>
          <w:rFonts w:hint="eastAsia" w:ascii="黑体" w:hAnsi="黑体" w:eastAsia="黑体" w:cs="黑体"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sz w:val="24"/>
          <w:szCs w:val="24"/>
          <w:lang w:eastAsia="zh-CN"/>
        </w:rPr>
        <w:drawing>
          <wp:inline distT="0" distB="0" distL="114300" distR="114300">
            <wp:extent cx="5342890" cy="8078470"/>
            <wp:effectExtent l="0" t="0" r="10160" b="17780"/>
            <wp:docPr id="1" name="图片 1" descr="bf2ffe5772189e8c7815255040bc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f2ffe5772189e8c7815255040bc1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807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>
      <w:pPr>
        <w:jc w:val="righ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附件三</w:t>
      </w:r>
    </w:p>
    <w:p>
      <w:pPr>
        <w:jc w:val="right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jc w:val="both"/>
        <w:rPr>
          <w:rFonts w:hint="eastAsia"/>
          <w:lang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58435" cy="7202805"/>
            <wp:effectExtent l="0" t="0" r="18415" b="17145"/>
            <wp:docPr id="57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" descr="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58435" cy="720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0"/>
        </w:numPr>
        <w:adjustRightInd w:val="0"/>
        <w:snapToGrid w:val="0"/>
        <w:spacing w:before="156" w:beforeLines="50" w:line="360" w:lineRule="auto"/>
        <w:ind w:leftChars="200"/>
        <w:jc w:val="right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附件四</w:t>
      </w:r>
    </w:p>
    <w:p>
      <w:pPr>
        <w:pStyle w:val="14"/>
        <w:numPr>
          <w:ilvl w:val="0"/>
          <w:numId w:val="0"/>
        </w:numPr>
        <w:adjustRightInd w:val="0"/>
        <w:snapToGrid w:val="0"/>
        <w:spacing w:before="156" w:beforeLines="50" w:line="360" w:lineRule="auto"/>
        <w:ind w:leftChars="200"/>
        <w:jc w:val="center"/>
        <w:rPr>
          <w:rFonts w:hint="eastAsia" w:eastAsiaTheme="minorEastAsia"/>
          <w:lang w:eastAsia="zh-CN"/>
        </w:rPr>
      </w:pPr>
    </w:p>
    <w:p>
      <w:pPr>
        <w:pStyle w:val="14"/>
        <w:numPr>
          <w:ilvl w:val="0"/>
          <w:numId w:val="0"/>
        </w:numPr>
        <w:adjustRightInd w:val="0"/>
        <w:snapToGrid w:val="0"/>
        <w:spacing w:before="156" w:beforeLines="50" w:line="360" w:lineRule="auto"/>
        <w:ind w:leftChars="200"/>
        <w:jc w:val="center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0500" cy="7433310"/>
            <wp:effectExtent l="0" t="0" r="6350" b="152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3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right"/>
        <w:textAlignment w:val="auto"/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附件五</w:t>
      </w:r>
    </w:p>
    <w:p>
      <w:pPr>
        <w:adjustRightInd w:val="0"/>
        <w:snapToGrid w:val="0"/>
        <w:spacing w:line="500" w:lineRule="exact"/>
        <w:jc w:val="center"/>
        <w:rPr>
          <w:rFonts w:hint="eastAsia"/>
          <w:color w:val="000000"/>
        </w:rPr>
      </w:pPr>
      <w:r>
        <w:rPr>
          <w:rFonts w:hint="eastAsia" w:ascii="宋体" w:hAnsi="宋体"/>
          <w:b/>
          <w:bCs/>
          <w:sz w:val="44"/>
          <w:szCs w:val="44"/>
          <w:lang w:eastAsia="zh-CN"/>
        </w:rPr>
        <w:t>濮阳和丰农业科技有限公司年产4000吨白玉菇（蟹味菇）工厂化生产项目监测方案</w:t>
      </w:r>
    </w:p>
    <w:p>
      <w:pPr>
        <w:pStyle w:val="4"/>
        <w:spacing w:line="360" w:lineRule="auto"/>
        <w:ind w:firstLine="560" w:firstLineChars="200"/>
        <w:jc w:val="left"/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val="en-US" w:eastAsia="zh-CN"/>
        </w:rPr>
        <w:t>项目位于河南省濮阳市清丰县双庙乡沙格寨村。</w:t>
      </w:r>
    </w:p>
    <w:p>
      <w:pPr>
        <w:pStyle w:val="4"/>
        <w:spacing w:line="360" w:lineRule="auto"/>
        <w:ind w:firstLine="562" w:firstLineChars="200"/>
        <w:jc w:val="left"/>
        <w:rPr>
          <w:rFonts w:hint="eastAsia"/>
          <w:b/>
        </w:rPr>
      </w:pPr>
      <w:r>
        <w:rPr>
          <w:rFonts w:hint="eastAsia" w:ascii="Times New Roman" w:hAnsi="Times New Roman"/>
          <w:b/>
          <w:sz w:val="28"/>
        </w:rPr>
        <w:t>1、大气环境监测</w:t>
      </w:r>
    </w:p>
    <w:p>
      <w:pPr>
        <w:pStyle w:val="4"/>
        <w:spacing w:line="360" w:lineRule="auto"/>
        <w:ind w:left="496" w:leftChars="236"/>
        <w:jc w:val="both"/>
        <w:rPr>
          <w:rFonts w:ascii="Times New Roman" w:hAnsi="Times New Roman"/>
          <w:sz w:val="24"/>
          <w:szCs w:val="24"/>
        </w:rPr>
      </w:pPr>
      <w:r>
        <w:rPr>
          <w:rFonts w:hint="eastAsia"/>
          <w:b/>
        </w:rPr>
        <w:t>无组织排放</w:t>
      </w:r>
    </w:p>
    <w:p>
      <w:pPr>
        <w:pStyle w:val="4"/>
        <w:spacing w:line="360" w:lineRule="auto"/>
        <w:ind w:left="496" w:leftChars="23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（1）</w:t>
      </w:r>
      <w:r>
        <w:rPr>
          <w:rFonts w:hint="eastAsia" w:ascii="Times New Roman" w:hAnsi="Times New Roman"/>
          <w:sz w:val="24"/>
          <w:szCs w:val="24"/>
        </w:rPr>
        <w:t>监测内容</w:t>
      </w:r>
    </w:p>
    <w:p>
      <w:pPr>
        <w:pStyle w:val="4"/>
        <w:spacing w:line="360" w:lineRule="auto"/>
        <w:ind w:left="496" w:leftChars="236"/>
        <w:jc w:val="center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>表</w:t>
      </w:r>
      <w:r>
        <w:rPr>
          <w:rFonts w:hint="eastAsia" w:ascii="Times New Roman" w:hAnsi="Times New Roman"/>
          <w:sz w:val="24"/>
          <w:szCs w:val="32"/>
        </w:rPr>
        <w:t>1</w:t>
      </w:r>
      <w:r>
        <w:rPr>
          <w:rFonts w:ascii="Times New Roman" w:hAnsi="Times New Roman"/>
          <w:sz w:val="24"/>
          <w:szCs w:val="32"/>
        </w:rPr>
        <w:t>废气污染物无组织排放监测内容</w:t>
      </w:r>
    </w:p>
    <w:tbl>
      <w:tblPr>
        <w:tblStyle w:val="11"/>
        <w:tblW w:w="49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0"/>
        <w:gridCol w:w="1198"/>
        <w:gridCol w:w="1453"/>
        <w:gridCol w:w="2300"/>
        <w:gridCol w:w="1085"/>
        <w:gridCol w:w="12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055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after="157" w:afterLines="50" w:line="240" w:lineRule="auto"/>
              <w:textAlignment w:val="auto"/>
              <w:rPr>
                <w:rFonts w:hint="default" w:ascii="Times New Roman" w:hAnsi="Times New Roman" w:eastAsia="宋体" w:cs="Times New Roman"/>
                <w:color w:val="auto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</w:rPr>
              <w:t>监测点位</w:t>
            </w:r>
          </w:p>
        </w:tc>
        <w:tc>
          <w:tcPr>
            <w:tcW w:w="645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after="157" w:afterLines="50" w:line="240" w:lineRule="auto"/>
              <w:textAlignment w:val="auto"/>
              <w:rPr>
                <w:rFonts w:hint="default" w:ascii="Times New Roman" w:hAnsi="Times New Roman" w:eastAsia="宋体" w:cs="Times New Roman"/>
                <w:color w:val="auto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</w:rPr>
              <w:t>监测项目</w:t>
            </w:r>
          </w:p>
        </w:tc>
        <w:tc>
          <w:tcPr>
            <w:tcW w:w="782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after="157" w:afterLines="50" w:line="240" w:lineRule="auto"/>
              <w:textAlignment w:val="auto"/>
              <w:rPr>
                <w:rFonts w:hint="default" w:ascii="Times New Roman" w:hAnsi="Times New Roman" w:eastAsia="宋体" w:cs="Times New Roman"/>
                <w:color w:val="auto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GB" w:eastAsia="zh-CN"/>
              </w:rPr>
              <w:t>排放限值</w:t>
            </w:r>
          </w:p>
        </w:tc>
        <w:tc>
          <w:tcPr>
            <w:tcW w:w="123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after="157" w:afterLines="50" w:line="240" w:lineRule="auto"/>
              <w:textAlignment w:val="auto"/>
              <w:rPr>
                <w:rFonts w:hint="default" w:ascii="Times New Roman" w:hAnsi="Times New Roman" w:eastAsia="宋体" w:cs="Times New Roman"/>
                <w:color w:val="auto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GB" w:eastAsia="zh-CN"/>
              </w:rPr>
              <w:t>执行标准</w:t>
            </w:r>
          </w:p>
        </w:tc>
        <w:tc>
          <w:tcPr>
            <w:tcW w:w="584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after="157" w:afterLines="50" w:line="240" w:lineRule="auto"/>
              <w:textAlignment w:val="auto"/>
              <w:rPr>
                <w:rFonts w:hint="eastAsia" w:ascii="Times New Roman" w:hAnsi="Times New Roman" w:eastAsia="宋体" w:cs="Times New Roman"/>
                <w:color w:val="auto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lang w:eastAsia="zh-CN"/>
              </w:rPr>
              <w:t>监测方式</w:t>
            </w:r>
          </w:p>
        </w:tc>
        <w:tc>
          <w:tcPr>
            <w:tcW w:w="69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after="157" w:afterLines="50" w:line="240" w:lineRule="auto"/>
              <w:textAlignment w:val="auto"/>
              <w:rPr>
                <w:rFonts w:hint="default" w:ascii="Times New Roman" w:hAnsi="Times New Roman" w:eastAsia="宋体" w:cs="Times New Roman"/>
                <w:color w:val="auto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</w:rPr>
              <w:t>监测频次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  <w:jc w:val="center"/>
        </w:trPr>
        <w:tc>
          <w:tcPr>
            <w:tcW w:w="1055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after="157" w:afterLines="50" w:line="240" w:lineRule="auto"/>
              <w:textAlignment w:val="auto"/>
              <w:rPr>
                <w:rFonts w:hint="default" w:ascii="Times New Roman" w:hAnsi="Times New Roman" w:eastAsia="宋体" w:cs="Times New Roman"/>
                <w:color w:val="auto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</w:rPr>
              <w:t>上风向设置1个参照</w:t>
            </w:r>
            <w:r>
              <w:rPr>
                <w:rFonts w:hint="default" w:ascii="Times New Roman" w:hAnsi="Times New Roman" w:eastAsia="宋体" w:cs="Times New Roman"/>
                <w:color w:val="auto"/>
                <w:lang w:eastAsia="zh-CN"/>
              </w:rPr>
              <w:t>点位，</w:t>
            </w:r>
          </w:p>
          <w:p>
            <w:pPr>
              <w:pStyle w:val="15"/>
              <w:keepNext w:val="0"/>
              <w:keepLines w:val="0"/>
              <w:pageBreakBefore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after="157" w:afterLines="50" w:line="240" w:lineRule="auto"/>
              <w:textAlignment w:val="auto"/>
            </w:pPr>
            <w:r>
              <w:rPr>
                <w:rFonts w:hint="default" w:ascii="Times New Roman" w:hAnsi="Times New Roman" w:eastAsia="宋体" w:cs="Times New Roman"/>
                <w:color w:val="auto"/>
              </w:rPr>
              <w:t>下风向设置3个监测点位</w:t>
            </w:r>
          </w:p>
        </w:tc>
        <w:tc>
          <w:tcPr>
            <w:tcW w:w="645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after="157" w:afterLines="50" w:line="240" w:lineRule="auto"/>
              <w:jc w:val="center"/>
              <w:textAlignment w:val="auto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  <w:lang w:val="en-GB" w:eastAsia="zh-CN"/>
              </w:rPr>
              <w:t>氨</w:t>
            </w:r>
          </w:p>
        </w:tc>
        <w:tc>
          <w:tcPr>
            <w:tcW w:w="782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after="157" w:afterLines="50"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  <w:lang w:val="en-US" w:eastAsia="zh-CN"/>
              </w:rPr>
              <w:t>1.5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m</w:t>
            </w:r>
            <w:r>
              <w:rPr>
                <w:rFonts w:ascii="Times New Roman" w:hAnsi="Times New Roman" w:eastAsiaTheme="minorEastAsia"/>
                <w:sz w:val="24"/>
                <w:szCs w:val="24"/>
                <w:lang w:val="en-GB"/>
              </w:rPr>
              <w:t>g/m</w:t>
            </w:r>
            <w:r>
              <w:rPr>
                <w:rFonts w:ascii="Times New Roman" w:hAnsi="Times New Roman" w:eastAsiaTheme="minorEastAsia"/>
                <w:sz w:val="24"/>
                <w:szCs w:val="24"/>
                <w:vertAlign w:val="superscript"/>
                <w:lang w:val="en-GB"/>
              </w:rPr>
              <w:t>3</w:t>
            </w:r>
          </w:p>
        </w:tc>
        <w:tc>
          <w:tcPr>
            <w:tcW w:w="1238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after="157" w:afterLines="50" w:line="240" w:lineRule="auto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GB" w:eastAsia="zh-CN"/>
              </w:rPr>
            </w:pPr>
            <w:r>
              <w:rPr>
                <w:rFonts w:hint="eastAsia" w:ascii="Times New Roman" w:hAnsi="Times New Roman" w:cs="Times New Roman" w:eastAsiaTheme="minorEastAsia"/>
                <w:sz w:val="24"/>
                <w:szCs w:val="24"/>
                <w:lang w:val="en-US" w:eastAsia="zh-CN"/>
              </w:rPr>
              <w:t>《恶臭污染物排放标准》（GB14554-93）</w:t>
            </w:r>
          </w:p>
        </w:tc>
        <w:tc>
          <w:tcPr>
            <w:tcW w:w="584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after="157" w:afterLines="50" w:line="240" w:lineRule="auto"/>
              <w:textAlignment w:val="auto"/>
              <w:rPr>
                <w:rFonts w:hint="eastAsia" w:ascii="Times New Roman" w:hAnsi="Times New Roman" w:eastAsia="宋体" w:cs="Times New Roman"/>
                <w:color w:val="auto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lang w:eastAsia="zh-CN"/>
              </w:rPr>
              <w:t>手工</w:t>
            </w:r>
          </w:p>
        </w:tc>
        <w:tc>
          <w:tcPr>
            <w:tcW w:w="693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after="157" w:afterLines="50" w:line="240" w:lineRule="auto"/>
              <w:textAlignment w:val="auto"/>
              <w:rPr>
                <w:rFonts w:hint="default" w:ascii="Times New Roman" w:hAnsi="Times New Roman" w:eastAsia="宋体" w:cs="Times New Roman"/>
                <w:color w:val="auto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</w:rPr>
              <w:t>3次/天，连续2天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  <w:jc w:val="center"/>
        </w:trPr>
        <w:tc>
          <w:tcPr>
            <w:tcW w:w="1055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after="157" w:afterLines="50" w:line="240" w:lineRule="auto"/>
              <w:textAlignment w:val="auto"/>
            </w:pPr>
          </w:p>
        </w:tc>
        <w:tc>
          <w:tcPr>
            <w:tcW w:w="645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after="157" w:afterLines="50" w:line="240" w:lineRule="auto"/>
              <w:jc w:val="center"/>
              <w:textAlignment w:val="auto"/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  <w:lang w:val="en-GB" w:eastAsia="zh-CN"/>
              </w:rPr>
              <w:t>硫化氢</w:t>
            </w:r>
          </w:p>
        </w:tc>
        <w:tc>
          <w:tcPr>
            <w:tcW w:w="782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after="157" w:afterLines="50"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Theme="minorEastAsia"/>
                <w:sz w:val="24"/>
                <w:szCs w:val="24"/>
                <w:lang w:val="en-US" w:eastAsia="zh-CN"/>
              </w:rPr>
              <w:t>0.06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m</w:t>
            </w:r>
            <w:r>
              <w:rPr>
                <w:rFonts w:ascii="Times New Roman" w:hAnsi="Times New Roman" w:eastAsiaTheme="minorEastAsia"/>
                <w:sz w:val="24"/>
                <w:szCs w:val="24"/>
                <w:lang w:val="en-GB"/>
              </w:rPr>
              <w:t>g/m</w:t>
            </w:r>
            <w:r>
              <w:rPr>
                <w:rFonts w:ascii="Times New Roman" w:hAnsi="Times New Roman" w:eastAsiaTheme="minorEastAsia"/>
                <w:sz w:val="24"/>
                <w:szCs w:val="24"/>
                <w:vertAlign w:val="superscript"/>
                <w:lang w:val="en-GB"/>
              </w:rPr>
              <w:t>3</w:t>
            </w:r>
          </w:p>
        </w:tc>
        <w:tc>
          <w:tcPr>
            <w:tcW w:w="123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after="157" w:afterLines="50" w:line="240" w:lineRule="auto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GB" w:eastAsia="zh-CN"/>
              </w:rPr>
            </w:pPr>
          </w:p>
        </w:tc>
        <w:tc>
          <w:tcPr>
            <w:tcW w:w="584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after="157" w:afterLines="50" w:line="240" w:lineRule="auto"/>
              <w:textAlignment w:val="auto"/>
              <w:rPr>
                <w:rFonts w:hint="eastAsia" w:ascii="Times New Roman" w:hAnsi="Times New Roman" w:eastAsia="宋体" w:cs="Times New Roman"/>
                <w:color w:val="auto"/>
                <w:lang w:eastAsia="zh-CN"/>
              </w:rPr>
            </w:pPr>
          </w:p>
        </w:tc>
        <w:tc>
          <w:tcPr>
            <w:tcW w:w="69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after="157" w:afterLines="50" w:line="240" w:lineRule="auto"/>
              <w:textAlignment w:val="auto"/>
              <w:rPr>
                <w:rFonts w:hint="default" w:ascii="Times New Roman" w:hAnsi="Times New Roman" w:eastAsia="宋体" w:cs="Times New Roman"/>
                <w:color w:val="auto"/>
              </w:rPr>
            </w:pPr>
          </w:p>
        </w:tc>
      </w:tr>
    </w:tbl>
    <w:p>
      <w:pPr>
        <w:pStyle w:val="4"/>
        <w:spacing w:line="360" w:lineRule="auto"/>
        <w:ind w:firstLine="480" w:firstLineChars="200"/>
        <w:jc w:val="left"/>
        <w:rPr>
          <w:rFonts w:hint="eastAsia" w:ascii="Times New Roman" w:hAnsi="Times New Roman" w:eastAsia="宋体" w:cs="Times New Roman"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Cs/>
          <w:sz w:val="24"/>
          <w:szCs w:val="24"/>
          <w:lang w:val="en-US" w:eastAsia="zh-CN"/>
        </w:rPr>
        <w:t>（</w:t>
      </w:r>
      <w:r>
        <w:rPr>
          <w:rFonts w:hint="eastAsia" w:ascii="Times New Roman" w:hAnsi="Times New Roman" w:eastAsia="宋体" w:cs="Times New Roman"/>
          <w:bCs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Cs/>
          <w:sz w:val="24"/>
          <w:szCs w:val="24"/>
          <w:lang w:val="en-US" w:eastAsia="zh-CN"/>
        </w:rPr>
        <w:t>）</w:t>
      </w:r>
      <w:r>
        <w:rPr>
          <w:rFonts w:hint="eastAsia" w:ascii="Times New Roman" w:hAnsi="Times New Roman" w:eastAsia="宋体" w:cs="Times New Roman"/>
          <w:bCs/>
          <w:sz w:val="24"/>
          <w:szCs w:val="24"/>
          <w:lang w:val="en-US" w:eastAsia="zh-CN"/>
        </w:rPr>
        <w:t>大气取样与监测</w:t>
      </w:r>
    </w:p>
    <w:p>
      <w:pPr>
        <w:pStyle w:val="4"/>
        <w:spacing w:line="360" w:lineRule="auto"/>
        <w:ind w:firstLine="480" w:firstLineChars="200"/>
        <w:jc w:val="left"/>
        <w:rPr>
          <w:rFonts w:hint="eastAsia" w:ascii="Times New Roman" w:hAnsi="Times New Roman" w:eastAsia="宋体" w:cs="Times New Roman"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Cs/>
          <w:sz w:val="24"/>
          <w:szCs w:val="24"/>
          <w:lang w:val="en-US" w:eastAsia="zh-CN"/>
        </w:rPr>
        <w:t>连续2天，每天采样3次，每次连续1h采样或者在1h内等时间间隔采样4次。</w:t>
      </w:r>
    </w:p>
    <w:p>
      <w:pPr>
        <w:pStyle w:val="4"/>
        <w:spacing w:line="360" w:lineRule="auto"/>
        <w:ind w:firstLine="480" w:firstLineChars="200"/>
        <w:jc w:val="left"/>
        <w:rPr>
          <w:rFonts w:hint="eastAsia"/>
          <w:color w:val="000000"/>
        </w:rPr>
      </w:pPr>
      <w:r>
        <w:rPr>
          <w:rFonts w:hint="eastAsia" w:ascii="Times New Roman" w:hAnsi="Times New Roman" w:eastAsia="宋体" w:cs="Times New Roman"/>
          <w:bCs/>
          <w:sz w:val="24"/>
          <w:szCs w:val="24"/>
          <w:lang w:val="en-US" w:eastAsia="zh-CN"/>
        </w:rPr>
        <w:t>气样采集及保存按《环境监测技术规范》进行。</w:t>
      </w:r>
    </w:p>
    <w:p>
      <w:pPr>
        <w:pStyle w:val="4"/>
        <w:spacing w:line="360" w:lineRule="auto"/>
        <w:ind w:left="496" w:leftChars="236"/>
        <w:rPr>
          <w:rFonts w:hint="eastAsia" w:ascii="Times New Roman" w:hAnsi="Times New Roman" w:eastAsia="宋体" w:cs="Times New Roman"/>
          <w:bCs/>
          <w:sz w:val="24"/>
          <w:szCs w:val="24"/>
          <w:lang w:val="en-US" w:eastAsia="zh-CN"/>
        </w:rPr>
      </w:pPr>
      <w:r>
        <w:rPr>
          <w:rFonts w:hint="eastAsia"/>
          <w:b/>
        </w:rPr>
        <w:t>有组织排放</w:t>
      </w:r>
    </w:p>
    <w:p>
      <w:pPr>
        <w:pStyle w:val="4"/>
        <w:numPr>
          <w:ilvl w:val="0"/>
          <w:numId w:val="1"/>
        </w:numPr>
        <w:spacing w:line="360" w:lineRule="auto"/>
        <w:ind w:firstLine="480" w:firstLineChars="200"/>
        <w:jc w:val="left"/>
        <w:rPr>
          <w:rFonts w:hint="eastAsia" w:ascii="Times New Roman" w:hAnsi="Times New Roman" w:eastAsia="宋体" w:cs="Times New Roman"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Cs/>
          <w:sz w:val="24"/>
          <w:szCs w:val="24"/>
          <w:lang w:val="en-US" w:eastAsia="zh-CN"/>
        </w:rPr>
        <w:t xml:space="preserve">监测内容 </w:t>
      </w:r>
    </w:p>
    <w:p>
      <w:pPr>
        <w:pStyle w:val="4"/>
        <w:numPr>
          <w:ilvl w:val="0"/>
          <w:numId w:val="0"/>
        </w:numPr>
        <w:spacing w:line="360" w:lineRule="auto"/>
        <w:jc w:val="center"/>
        <w:rPr>
          <w:rFonts w:hint="eastAsia" w:ascii="Times New Roman" w:hAnsi="Times New Roman" w:eastAsia="宋体" w:cs="Times New Roman"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Cs/>
          <w:sz w:val="24"/>
          <w:szCs w:val="24"/>
          <w:lang w:val="en-US" w:eastAsia="zh-CN"/>
        </w:rPr>
        <w:t xml:space="preserve">表2   </w:t>
      </w:r>
      <w:r>
        <w:rPr>
          <w:rFonts w:hint="default" w:ascii="Times New Roman" w:hAnsi="Times New Roman" w:eastAsia="宋体" w:cs="Times New Roman"/>
          <w:bCs/>
          <w:sz w:val="24"/>
          <w:szCs w:val="24"/>
          <w:lang w:val="en-US" w:eastAsia="zh-CN"/>
        </w:rPr>
        <w:t>废气污染物</w:t>
      </w:r>
      <w:r>
        <w:rPr>
          <w:rFonts w:hint="eastAsia" w:ascii="Times New Roman" w:hAnsi="Times New Roman" w:eastAsia="宋体" w:cs="Times New Roman"/>
          <w:bCs/>
          <w:sz w:val="24"/>
          <w:szCs w:val="24"/>
          <w:lang w:val="en-US" w:eastAsia="zh-CN"/>
        </w:rPr>
        <w:t>有</w:t>
      </w:r>
      <w:r>
        <w:rPr>
          <w:rFonts w:hint="default" w:ascii="Times New Roman" w:hAnsi="Times New Roman" w:eastAsia="宋体" w:cs="Times New Roman"/>
          <w:bCs/>
          <w:sz w:val="24"/>
          <w:szCs w:val="24"/>
          <w:lang w:val="en-US" w:eastAsia="zh-CN"/>
        </w:rPr>
        <w:t>组织排放监测内容</w:t>
      </w:r>
    </w:p>
    <w:tbl>
      <w:tblPr>
        <w:tblStyle w:val="11"/>
        <w:tblpPr w:leftFromText="180" w:rightFromText="180" w:vertAnchor="text" w:horzAnchor="page" w:tblpXSpec="center" w:tblpY="447"/>
        <w:tblOverlap w:val="never"/>
        <w:tblW w:w="49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5"/>
        <w:gridCol w:w="1243"/>
        <w:gridCol w:w="1335"/>
        <w:gridCol w:w="2376"/>
        <w:gridCol w:w="1195"/>
        <w:gridCol w:w="12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  <w:jc w:val="center"/>
        </w:trPr>
        <w:tc>
          <w:tcPr>
            <w:tcW w:w="104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Cs/>
                <w:sz w:val="24"/>
                <w:szCs w:val="24"/>
                <w:lang w:val="en-US" w:eastAsia="zh-CN"/>
              </w:rPr>
              <w:t>监测点位</w:t>
            </w:r>
          </w:p>
        </w:tc>
        <w:tc>
          <w:tcPr>
            <w:tcW w:w="68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Cs/>
                <w:sz w:val="24"/>
                <w:szCs w:val="24"/>
                <w:lang w:val="en-US" w:eastAsia="zh-CN"/>
              </w:rPr>
              <w:t>监测因子</w:t>
            </w:r>
          </w:p>
        </w:tc>
        <w:tc>
          <w:tcPr>
            <w:tcW w:w="73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GB" w:eastAsia="zh-CN"/>
              </w:rPr>
              <w:t>排放限值</w:t>
            </w:r>
          </w:p>
        </w:tc>
        <w:tc>
          <w:tcPr>
            <w:tcW w:w="122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GB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  <w:lang w:val="en-GB" w:eastAsia="zh-CN"/>
              </w:rPr>
              <w:t>执行标准</w:t>
            </w:r>
          </w:p>
        </w:tc>
        <w:tc>
          <w:tcPr>
            <w:tcW w:w="654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GB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  <w:lang w:val="en-GB" w:eastAsia="zh-CN"/>
              </w:rPr>
              <w:t>监测方式</w:t>
            </w:r>
          </w:p>
        </w:tc>
        <w:tc>
          <w:tcPr>
            <w:tcW w:w="662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Cs/>
                <w:sz w:val="24"/>
                <w:szCs w:val="24"/>
                <w:lang w:val="en-US" w:eastAsia="zh-CN"/>
              </w:rPr>
              <w:t>监测频次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1047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24"/>
                <w:szCs w:val="24"/>
                <w:lang w:val="en-US" w:eastAsia="zh-CN"/>
              </w:rPr>
              <w:t>锅炉废气排放口</w:t>
            </w:r>
          </w:p>
        </w:tc>
        <w:tc>
          <w:tcPr>
            <w:tcW w:w="68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eastAsia="zh-CN"/>
              </w:rPr>
              <w:t>颗粒物</w:t>
            </w:r>
          </w:p>
        </w:tc>
        <w:tc>
          <w:tcPr>
            <w:tcW w:w="73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after="157" w:afterLines="50"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5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m</w:t>
            </w:r>
            <w:r>
              <w:rPr>
                <w:rFonts w:ascii="Times New Roman" w:hAnsi="Times New Roman" w:eastAsiaTheme="minorEastAsia"/>
                <w:sz w:val="24"/>
                <w:szCs w:val="24"/>
                <w:lang w:val="en-GB"/>
              </w:rPr>
              <w:t>g/m</w:t>
            </w:r>
            <w:r>
              <w:rPr>
                <w:rFonts w:ascii="Times New Roman" w:hAnsi="Times New Roman" w:eastAsiaTheme="minorEastAsia"/>
                <w:sz w:val="24"/>
                <w:szCs w:val="24"/>
                <w:vertAlign w:val="superscript"/>
                <w:lang w:val="en-GB"/>
              </w:rPr>
              <w:t>3</w:t>
            </w:r>
          </w:p>
        </w:tc>
        <w:tc>
          <w:tcPr>
            <w:tcW w:w="1223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GB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GB" w:eastAsia="zh-CN"/>
              </w:rPr>
              <w:t>《锅炉大气污染物排放标准》（DB41/2089-2021）（燃气锅炉）</w:t>
            </w:r>
          </w:p>
        </w:tc>
        <w:tc>
          <w:tcPr>
            <w:tcW w:w="654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 w:after="157" w:afterLines="50" w:line="240" w:lineRule="auto"/>
              <w:textAlignment w:val="auto"/>
              <w:rPr>
                <w:rFonts w:hint="eastAsia" w:ascii="Times New Roman" w:hAnsi="Times New Roman" w:eastAsia="宋体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lang w:eastAsia="zh-CN"/>
              </w:rPr>
              <w:t>手工</w:t>
            </w:r>
          </w:p>
        </w:tc>
        <w:tc>
          <w:tcPr>
            <w:tcW w:w="662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15"/>
              <w:keepNext w:val="0"/>
              <w:keepLines w:val="0"/>
              <w:pageBreakBefore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 w:after="157" w:afterLines="50" w:line="240" w:lineRule="auto"/>
              <w:textAlignment w:val="auto"/>
              <w:rPr>
                <w:rFonts w:hint="eastAsia" w:ascii="Times New Roman" w:hAnsi="Times New Roman" w:eastAsia="宋体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</w:rPr>
              <w:t>3次/</w:t>
            </w:r>
            <w:r>
              <w:rPr>
                <w:rFonts w:hint="eastAsia" w:ascii="Times New Roman" w:hAnsi="Times New Roman" w:eastAsia="宋体" w:cs="Times New Roman"/>
                <w:color w:val="auto"/>
                <w:lang w:eastAsia="zh-CN"/>
              </w:rPr>
              <w:t>周期</w:t>
            </w:r>
            <w:r>
              <w:rPr>
                <w:rFonts w:hint="default" w:ascii="Times New Roman" w:hAnsi="Times New Roman" w:eastAsia="宋体" w:cs="Times New Roman"/>
                <w:color w:val="auto"/>
              </w:rPr>
              <w:t>，连续2</w:t>
            </w:r>
            <w:r>
              <w:rPr>
                <w:rFonts w:hint="eastAsia" w:ascii="Times New Roman" w:hAnsi="Times New Roman" w:eastAsia="宋体" w:cs="Times New Roman"/>
                <w:color w:val="auto"/>
                <w:lang w:eastAsia="zh-CN"/>
              </w:rPr>
              <w:t>个周期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1047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 w:after="157" w:afterLines="50" w:line="240" w:lineRule="auto"/>
              <w:ind w:firstLine="420" w:firstLineChars="200"/>
              <w:jc w:val="center"/>
              <w:textAlignment w:val="auto"/>
            </w:pPr>
          </w:p>
        </w:tc>
        <w:tc>
          <w:tcPr>
            <w:tcW w:w="68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SO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subscript"/>
                <w:lang w:val="en-US" w:eastAsia="zh-CN"/>
              </w:rPr>
              <w:t>2</w:t>
            </w:r>
          </w:p>
        </w:tc>
        <w:tc>
          <w:tcPr>
            <w:tcW w:w="73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after="157" w:afterLines="50" w:line="240" w:lineRule="auto"/>
              <w:jc w:val="center"/>
              <w:textAlignment w:val="auto"/>
              <w:rPr>
                <w:rFonts w:hint="eastAsia"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10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m</w:t>
            </w:r>
            <w:r>
              <w:rPr>
                <w:rFonts w:ascii="Times New Roman" w:hAnsi="Times New Roman" w:eastAsiaTheme="minorEastAsia"/>
                <w:sz w:val="24"/>
                <w:szCs w:val="24"/>
                <w:lang w:val="en-GB"/>
              </w:rPr>
              <w:t>g/m</w:t>
            </w:r>
            <w:r>
              <w:rPr>
                <w:rFonts w:ascii="Times New Roman" w:hAnsi="Times New Roman" w:eastAsiaTheme="minorEastAsia"/>
                <w:sz w:val="24"/>
                <w:szCs w:val="24"/>
                <w:vertAlign w:val="superscript"/>
                <w:lang w:val="en-GB"/>
              </w:rPr>
              <w:t>3</w:t>
            </w:r>
          </w:p>
        </w:tc>
        <w:tc>
          <w:tcPr>
            <w:tcW w:w="1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 w:after="157" w:afterLines="50" w:line="240" w:lineRule="auto"/>
              <w:ind w:firstLine="480" w:firstLineChars="200"/>
              <w:jc w:val="center"/>
              <w:textAlignment w:val="auto"/>
              <w:rPr>
                <w:rFonts w:hint="eastAsia"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54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 w:after="157" w:afterLines="50" w:line="240" w:lineRule="auto"/>
              <w:ind w:firstLine="480" w:firstLineChars="200"/>
              <w:jc w:val="center"/>
              <w:textAlignment w:val="auto"/>
              <w:rPr>
                <w:rFonts w:hint="eastAsia"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62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 w:after="157" w:afterLines="50" w:line="240" w:lineRule="auto"/>
              <w:ind w:firstLine="480" w:firstLineChars="200"/>
              <w:jc w:val="center"/>
              <w:textAlignment w:val="auto"/>
              <w:rPr>
                <w:rFonts w:hint="eastAsia"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1047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 w:after="157" w:afterLines="50" w:line="240" w:lineRule="auto"/>
              <w:ind w:firstLine="480" w:firstLineChars="200"/>
              <w:jc w:val="center"/>
              <w:textAlignment w:val="auto"/>
              <w:rPr>
                <w:rFonts w:hint="eastAsia"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8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 w:after="157" w:afterLines="50" w:line="240" w:lineRule="auto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NO</w:t>
            </w:r>
            <w:r>
              <w:rPr>
                <w:rFonts w:hint="eastAsia" w:ascii="Times New Roman" w:hAnsi="Times New Roman" w:cs="Times New Roman"/>
                <w:sz w:val="24"/>
                <w:szCs w:val="24"/>
                <w:vertAlign w:val="subscript"/>
                <w:lang w:val="en-US" w:eastAsia="zh-CN"/>
              </w:rPr>
              <w:t>x</w:t>
            </w:r>
          </w:p>
        </w:tc>
        <w:tc>
          <w:tcPr>
            <w:tcW w:w="73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157" w:beforeLines="50" w:after="157" w:afterLines="50" w:line="240" w:lineRule="auto"/>
              <w:jc w:val="center"/>
              <w:textAlignment w:val="auto"/>
              <w:rPr>
                <w:rFonts w:hint="eastAsia"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/>
                <w:sz w:val="24"/>
                <w:szCs w:val="24"/>
                <w:lang w:val="en-US" w:eastAsia="zh-CN"/>
              </w:rPr>
              <w:t>50</w:t>
            </w:r>
            <w:r>
              <w:rPr>
                <w:rFonts w:ascii="Times New Roman" w:hAnsi="Times New Roman" w:eastAsiaTheme="minorEastAsia"/>
                <w:sz w:val="24"/>
                <w:szCs w:val="24"/>
              </w:rPr>
              <w:t>m</w:t>
            </w:r>
            <w:r>
              <w:rPr>
                <w:rFonts w:ascii="Times New Roman" w:hAnsi="Times New Roman" w:eastAsiaTheme="minorEastAsia"/>
                <w:sz w:val="24"/>
                <w:szCs w:val="24"/>
                <w:lang w:val="en-GB"/>
              </w:rPr>
              <w:t>g/m</w:t>
            </w:r>
            <w:r>
              <w:rPr>
                <w:rFonts w:ascii="Times New Roman" w:hAnsi="Times New Roman" w:eastAsiaTheme="minorEastAsia"/>
                <w:sz w:val="24"/>
                <w:szCs w:val="24"/>
                <w:vertAlign w:val="superscript"/>
                <w:lang w:val="en-GB"/>
              </w:rPr>
              <w:t>3</w:t>
            </w:r>
          </w:p>
        </w:tc>
        <w:tc>
          <w:tcPr>
            <w:tcW w:w="122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 w:after="157" w:afterLines="50" w:line="240" w:lineRule="auto"/>
              <w:ind w:firstLine="480" w:firstLineChars="200"/>
              <w:jc w:val="center"/>
              <w:textAlignment w:val="auto"/>
              <w:rPr>
                <w:rFonts w:hint="eastAsia"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54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 w:after="157" w:afterLines="50" w:line="240" w:lineRule="auto"/>
              <w:ind w:firstLine="480" w:firstLineChars="200"/>
              <w:jc w:val="center"/>
              <w:textAlignment w:val="auto"/>
              <w:rPr>
                <w:rFonts w:hint="eastAsia" w:ascii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662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spacing w:before="157" w:beforeLines="50" w:after="157" w:afterLines="50" w:line="240" w:lineRule="auto"/>
              <w:ind w:firstLine="480" w:firstLineChars="200"/>
              <w:jc w:val="center"/>
              <w:textAlignment w:val="auto"/>
              <w:rPr>
                <w:rFonts w:hint="eastAsia"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>
      <w:pPr>
        <w:pStyle w:val="4"/>
        <w:spacing w:line="360" w:lineRule="auto"/>
        <w:ind w:firstLine="480" w:firstLineChars="200"/>
        <w:jc w:val="left"/>
        <w:rPr>
          <w:rFonts w:hint="eastAsia" w:ascii="Times New Roman" w:hAnsi="Times New Roman" w:eastAsia="宋体" w:cs="Times New Roman"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Cs/>
          <w:sz w:val="24"/>
          <w:szCs w:val="24"/>
          <w:lang w:val="en-US" w:eastAsia="zh-CN"/>
        </w:rPr>
        <w:t>（2）大气取样与监测</w:t>
      </w:r>
    </w:p>
    <w:p>
      <w:pPr>
        <w:pStyle w:val="4"/>
        <w:spacing w:line="360" w:lineRule="auto"/>
        <w:ind w:firstLine="480" w:firstLineChars="200"/>
        <w:jc w:val="left"/>
        <w:rPr>
          <w:rFonts w:hint="eastAsia" w:ascii="Times New Roman" w:hAnsi="Times New Roman" w:eastAsia="宋体" w:cs="Times New Roman"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Cs/>
          <w:sz w:val="24"/>
          <w:szCs w:val="24"/>
          <w:lang w:val="en-US" w:eastAsia="zh-CN"/>
        </w:rPr>
        <w:t>样品采集连续监测2天，每天监测三次。气样采集及保存按《环境监测技术规范》进行。</w:t>
      </w:r>
    </w:p>
    <w:p>
      <w:pPr>
        <w:pStyle w:val="4"/>
        <w:spacing w:line="360" w:lineRule="auto"/>
        <w:jc w:val="left"/>
        <w:rPr>
          <w:rFonts w:hint="default" w:ascii="Times New Roman" w:hAnsi="Times New Roman" w:eastAsia="宋体" w:cs="Times New Roman"/>
          <w:color w:val="000000"/>
          <w:sz w:val="24"/>
          <w:szCs w:val="24"/>
          <w:lang w:val="en-GB" w:eastAsia="zh-CN"/>
        </w:rPr>
      </w:pPr>
      <w:r>
        <w:rPr>
          <w:rFonts w:hint="eastAsia" w:ascii="Times New Roman" w:hAnsi="Times New Roman"/>
          <w:b/>
          <w:sz w:val="28"/>
          <w:lang w:val="en-US" w:eastAsia="zh-CN"/>
        </w:rPr>
        <w:t>2</w:t>
      </w:r>
      <w:r>
        <w:rPr>
          <w:rFonts w:ascii="Times New Roman" w:hAnsi="Times New Roman"/>
          <w:b/>
          <w:sz w:val="28"/>
        </w:rPr>
        <w:t>、声环境监测</w:t>
      </w:r>
      <w:r>
        <w:rPr>
          <w:rFonts w:hint="eastAsia" w:ascii="Times New Roman" w:hAnsi="Times New Roman" w:eastAsia="宋体" w:cs="Times New Roman"/>
          <w:color w:val="000000"/>
          <w:sz w:val="24"/>
          <w:szCs w:val="24"/>
          <w:lang w:val="en-US" w:eastAsia="zh-CN"/>
        </w:rPr>
        <w:t xml:space="preserve">    </w:t>
      </w:r>
    </w:p>
    <w:p>
      <w:pPr>
        <w:spacing w:line="480" w:lineRule="exact"/>
        <w:ind w:firstLine="482"/>
        <w:rPr>
          <w:rFonts w:hint="default" w:ascii="Times New Roman" w:hAnsi="Times New Roman" w:eastAsia="宋体" w:cs="Times New Roman"/>
          <w:sz w:val="24"/>
          <w:szCs w:val="32"/>
        </w:rPr>
      </w:pPr>
      <w:r>
        <w:rPr>
          <w:rFonts w:hint="default" w:ascii="Times New Roman" w:hAnsi="Times New Roman" w:eastAsia="宋体" w:cs="Times New Roman"/>
          <w:sz w:val="24"/>
          <w:szCs w:val="32"/>
        </w:rPr>
        <w:t>（1）监测点布设</w:t>
      </w:r>
    </w:p>
    <w:p>
      <w:pPr>
        <w:spacing w:line="480" w:lineRule="exact"/>
        <w:ind w:firstLine="482"/>
        <w:rPr>
          <w:rFonts w:hint="default" w:ascii="Times New Roman" w:hAnsi="Times New Roman" w:eastAsia="宋体" w:cs="Times New Roman"/>
          <w:sz w:val="24"/>
          <w:szCs w:val="32"/>
        </w:rPr>
      </w:pPr>
      <w:r>
        <w:rPr>
          <w:rFonts w:hint="default" w:ascii="Times New Roman" w:hAnsi="Times New Roman" w:eastAsia="宋体" w:cs="Times New Roman"/>
          <w:sz w:val="24"/>
          <w:szCs w:val="32"/>
        </w:rPr>
        <w:t>本次噪声监测共布设</w:t>
      </w:r>
      <w:r>
        <w:rPr>
          <w:rFonts w:hint="eastAsia" w:ascii="Times New Roman" w:hAnsi="Times New Roman" w:eastAsia="宋体" w:cs="Times New Roman"/>
          <w:sz w:val="24"/>
          <w:szCs w:val="32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sz w:val="24"/>
          <w:szCs w:val="32"/>
        </w:rPr>
        <w:t>个监测点。</w:t>
      </w:r>
    </w:p>
    <w:p>
      <w:pPr>
        <w:spacing w:line="360" w:lineRule="auto"/>
        <w:jc w:val="center"/>
        <w:rPr>
          <w:rFonts w:hint="default" w:ascii="Times New Roman" w:hAnsi="Times New Roman" w:eastAsia="宋体" w:cs="Times New Roman"/>
          <w:sz w:val="24"/>
          <w:szCs w:val="32"/>
        </w:rPr>
      </w:pPr>
      <w:r>
        <w:rPr>
          <w:rFonts w:hint="default" w:ascii="Times New Roman" w:hAnsi="Times New Roman" w:eastAsia="宋体" w:cs="Times New Roman"/>
          <w:sz w:val="24"/>
          <w:szCs w:val="32"/>
        </w:rPr>
        <w:t>表</w:t>
      </w:r>
      <w:r>
        <w:rPr>
          <w:rFonts w:hint="eastAsia" w:ascii="Times New Roman" w:hAnsi="Times New Roman" w:eastAsia="宋体" w:cs="Times New Roman"/>
          <w:sz w:val="24"/>
          <w:szCs w:val="32"/>
          <w:lang w:val="en-US" w:eastAsia="zh-CN"/>
        </w:rPr>
        <w:t xml:space="preserve">3  </w:t>
      </w:r>
      <w:r>
        <w:rPr>
          <w:rFonts w:hint="default" w:ascii="Times New Roman" w:hAnsi="Times New Roman" w:eastAsia="宋体" w:cs="Times New Roman"/>
          <w:sz w:val="24"/>
          <w:szCs w:val="32"/>
        </w:rPr>
        <w:t>声环境监测布点一览表</w:t>
      </w:r>
    </w:p>
    <w:tbl>
      <w:tblPr>
        <w:tblStyle w:val="11"/>
        <w:tblW w:w="49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85" w:type="dxa"/>
          <w:left w:w="108" w:type="dxa"/>
          <w:bottom w:w="85" w:type="dxa"/>
          <w:right w:w="108" w:type="dxa"/>
        </w:tblCellMar>
      </w:tblPr>
      <w:tblGrid>
        <w:gridCol w:w="1209"/>
        <w:gridCol w:w="1200"/>
        <w:gridCol w:w="1789"/>
        <w:gridCol w:w="2190"/>
        <w:gridCol w:w="1500"/>
        <w:gridCol w:w="13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85" w:type="dxa"/>
            <w:left w:w="108" w:type="dxa"/>
            <w:bottom w:w="85" w:type="dxa"/>
            <w:right w:w="108" w:type="dxa"/>
          </w:tblCellMar>
        </w:tblPrEx>
        <w:trPr>
          <w:trHeight w:val="487" w:hRule="atLeast"/>
          <w:jc w:val="center"/>
        </w:trPr>
        <w:tc>
          <w:tcPr>
            <w:tcW w:w="65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  <w:lang w:eastAsia="zh-CN"/>
              </w:rPr>
              <w:t>监测点位</w:t>
            </w:r>
          </w:p>
        </w:tc>
        <w:tc>
          <w:tcPr>
            <w:tcW w:w="65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  <w:lang w:eastAsia="zh-CN"/>
              </w:rPr>
              <w:t>监测指标</w:t>
            </w:r>
          </w:p>
        </w:tc>
        <w:tc>
          <w:tcPr>
            <w:tcW w:w="968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  <w:lang w:eastAsia="zh-CN"/>
              </w:rPr>
              <w:t>排放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</w:rPr>
              <w:t>限值</w:t>
            </w:r>
          </w:p>
        </w:tc>
        <w:tc>
          <w:tcPr>
            <w:tcW w:w="1154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</w:rPr>
              <w:t>执行标准</w:t>
            </w:r>
          </w:p>
        </w:tc>
        <w:tc>
          <w:tcPr>
            <w:tcW w:w="812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  <w:lang w:eastAsia="zh-CN"/>
              </w:rPr>
              <w:t>监测方式</w:t>
            </w:r>
          </w:p>
        </w:tc>
        <w:tc>
          <w:tcPr>
            <w:tcW w:w="75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  <w:lang w:eastAsia="zh-CN"/>
              </w:rPr>
              <w:t>监测频次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85" w:type="dxa"/>
            <w:left w:w="108" w:type="dxa"/>
            <w:bottom w:w="85" w:type="dxa"/>
            <w:right w:w="108" w:type="dxa"/>
          </w:tblCellMar>
        </w:tblPrEx>
        <w:trPr>
          <w:jc w:val="center"/>
        </w:trPr>
        <w:tc>
          <w:tcPr>
            <w:tcW w:w="65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  <w:lang w:eastAsia="zh-CN"/>
              </w:rPr>
              <w:t>东厂界</w:t>
            </w:r>
          </w:p>
        </w:tc>
        <w:tc>
          <w:tcPr>
            <w:tcW w:w="651" w:type="pct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  <w:lang w:eastAsia="zh-CN"/>
              </w:rPr>
              <w:t>等效连续A声级</w:t>
            </w:r>
          </w:p>
        </w:tc>
        <w:tc>
          <w:tcPr>
            <w:tcW w:w="968" w:type="pct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</w:rPr>
              <w:t>昼间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GB"/>
              </w:rPr>
              <w:t>≤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  <w:t>dB（A）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tabs>
                <w:tab w:val="left" w:pos="75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left="0" w:leftChars="0" w:firstLine="0" w:firstLineChars="0"/>
              <w:jc w:val="both"/>
              <w:textAlignment w:val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GB"/>
              </w:rPr>
              <w:t>夜间≤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  <w:t>0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  <w:t>dB（A）</w:t>
            </w:r>
          </w:p>
        </w:tc>
        <w:tc>
          <w:tcPr>
            <w:tcW w:w="1154" w:type="pct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zh-CN"/>
              </w:rPr>
              <w:t>《工业企业厂界环境噪声排放标准》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</w:rPr>
              <w:t>（GB12348-2008）</w:t>
            </w:r>
            <w:r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zh-CN"/>
              </w:rPr>
              <w:t>类标准</w:t>
            </w:r>
          </w:p>
        </w:tc>
        <w:tc>
          <w:tcPr>
            <w:tcW w:w="812" w:type="pct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4"/>
                <w:szCs w:val="24"/>
                <w:lang w:val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  <w:lang w:val="zh-CN"/>
              </w:rPr>
              <w:t>手工</w:t>
            </w:r>
          </w:p>
        </w:tc>
        <w:tc>
          <w:tcPr>
            <w:tcW w:w="756" w:type="pct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  <w:lang w:val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32"/>
              </w:rPr>
              <w:t>连续监测2天，</w:t>
            </w:r>
            <w:r>
              <w:rPr>
                <w:rFonts w:hint="eastAsia" w:ascii="Times New Roman" w:hAnsi="Times New Roman" w:eastAsia="宋体" w:cs="Times New Roman"/>
                <w:sz w:val="24"/>
                <w:szCs w:val="32"/>
                <w:lang w:val="en-US" w:eastAsia="zh-CN"/>
              </w:rPr>
              <w:t>昼间</w:t>
            </w:r>
            <w:r>
              <w:rPr>
                <w:rFonts w:hint="default" w:ascii="Times New Roman" w:hAnsi="Times New Roman" w:eastAsia="宋体" w:cs="Times New Roman"/>
                <w:sz w:val="24"/>
                <w:szCs w:val="32"/>
              </w:rPr>
              <w:t>监测一次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85" w:type="dxa"/>
            <w:left w:w="108" w:type="dxa"/>
            <w:bottom w:w="85" w:type="dxa"/>
            <w:right w:w="108" w:type="dxa"/>
          </w:tblCellMar>
        </w:tblPrEx>
        <w:trPr>
          <w:jc w:val="center"/>
        </w:trPr>
        <w:tc>
          <w:tcPr>
            <w:tcW w:w="65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  <w:lang w:eastAsia="zh-CN"/>
              </w:rPr>
              <w:t>西厂界</w:t>
            </w:r>
          </w:p>
        </w:tc>
        <w:tc>
          <w:tcPr>
            <w:tcW w:w="651" w:type="pct"/>
            <w:vMerge w:val="continue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tabs>
                <w:tab w:val="left" w:pos="75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68" w:type="pct"/>
            <w:vMerge w:val="continue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tabs>
                <w:tab w:val="left" w:pos="75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54" w:type="pct"/>
            <w:vMerge w:val="continue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tabs>
                <w:tab w:val="left" w:pos="75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2" w:type="pct"/>
            <w:vMerge w:val="continue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tabs>
                <w:tab w:val="left" w:pos="75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56" w:type="pct"/>
            <w:vMerge w:val="continue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tabs>
                <w:tab w:val="left" w:pos="75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85" w:type="dxa"/>
            <w:left w:w="108" w:type="dxa"/>
            <w:bottom w:w="85" w:type="dxa"/>
            <w:right w:w="108" w:type="dxa"/>
          </w:tblCellMar>
        </w:tblPrEx>
        <w:trPr>
          <w:trHeight w:val="142" w:hRule="atLeast"/>
          <w:jc w:val="center"/>
        </w:trPr>
        <w:tc>
          <w:tcPr>
            <w:tcW w:w="65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  <w:lang w:eastAsia="zh-CN"/>
              </w:rPr>
              <w:t>北厂界</w:t>
            </w:r>
          </w:p>
        </w:tc>
        <w:tc>
          <w:tcPr>
            <w:tcW w:w="651" w:type="pct"/>
            <w:vMerge w:val="continue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tabs>
                <w:tab w:val="left" w:pos="75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68" w:type="pct"/>
            <w:vMerge w:val="continue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tabs>
                <w:tab w:val="left" w:pos="75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54" w:type="pct"/>
            <w:vMerge w:val="continue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tabs>
                <w:tab w:val="left" w:pos="75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2" w:type="pct"/>
            <w:vMerge w:val="continue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tabs>
                <w:tab w:val="left" w:pos="75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56" w:type="pct"/>
            <w:vMerge w:val="continue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tabs>
                <w:tab w:val="left" w:pos="75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85" w:type="dxa"/>
            <w:left w:w="108" w:type="dxa"/>
            <w:bottom w:w="85" w:type="dxa"/>
            <w:right w:w="108" w:type="dxa"/>
          </w:tblCellMar>
        </w:tblPrEx>
        <w:trPr>
          <w:trHeight w:val="134" w:hRule="atLeast"/>
          <w:jc w:val="center"/>
        </w:trPr>
        <w:tc>
          <w:tcPr>
            <w:tcW w:w="65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24"/>
                <w:szCs w:val="24"/>
                <w:lang w:eastAsia="zh-CN"/>
              </w:rPr>
              <w:t>南厂界</w:t>
            </w:r>
          </w:p>
        </w:tc>
        <w:tc>
          <w:tcPr>
            <w:tcW w:w="651" w:type="pct"/>
            <w:vMerge w:val="continue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tabs>
                <w:tab w:val="left" w:pos="75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968" w:type="pct"/>
            <w:vMerge w:val="continue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tabs>
                <w:tab w:val="left" w:pos="75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154" w:type="pct"/>
            <w:vMerge w:val="continue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tabs>
                <w:tab w:val="left" w:pos="75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812" w:type="pct"/>
            <w:vMerge w:val="continue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tabs>
                <w:tab w:val="left" w:pos="75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756" w:type="pct"/>
            <w:vMerge w:val="continue"/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tabs>
                <w:tab w:val="left" w:pos="756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ascii="Times New Roman" w:hAnsi="Times New Roman"/>
                <w:sz w:val="21"/>
                <w:szCs w:val="21"/>
              </w:rPr>
            </w:pPr>
          </w:p>
        </w:tc>
      </w:tr>
    </w:tbl>
    <w:p>
      <w:pPr>
        <w:spacing w:line="480" w:lineRule="exact"/>
        <w:ind w:firstLine="482"/>
        <w:rPr>
          <w:rFonts w:hint="default" w:ascii="Times New Roman" w:hAnsi="Times New Roman" w:eastAsia="宋体" w:cs="Times New Roman"/>
          <w:sz w:val="24"/>
          <w:szCs w:val="32"/>
        </w:rPr>
      </w:pPr>
      <w:r>
        <w:rPr>
          <w:rFonts w:ascii="Times New Roman" w:hAnsi="Times New Roman"/>
        </w:rPr>
        <w:t xml:space="preserve">  </w:t>
      </w:r>
      <w:r>
        <w:rPr>
          <w:rFonts w:hint="default" w:ascii="Times New Roman" w:hAnsi="Times New Roman" w:eastAsia="宋体" w:cs="Times New Roman"/>
          <w:sz w:val="24"/>
          <w:szCs w:val="32"/>
        </w:rPr>
        <w:t>（2）监测方法及频率</w:t>
      </w:r>
    </w:p>
    <w:p>
      <w:pPr>
        <w:spacing w:line="480" w:lineRule="exact"/>
        <w:ind w:firstLine="482"/>
        <w:rPr>
          <w:rFonts w:hint="eastAsia" w:ascii="Times New Roman" w:hAnsi="Times New Roman" w:eastAsia="宋体" w:cs="Times New Roman"/>
          <w:sz w:val="24"/>
          <w:szCs w:val="32"/>
          <w:lang w:eastAsia="zh-CN"/>
        </w:rPr>
      </w:pPr>
      <w:r>
        <w:rPr>
          <w:rFonts w:hint="default" w:ascii="Times New Roman" w:hAnsi="Times New Roman" w:eastAsia="宋体" w:cs="Times New Roman"/>
          <w:sz w:val="24"/>
          <w:szCs w:val="32"/>
        </w:rPr>
        <w:t>连续监测2天，</w:t>
      </w:r>
      <w:r>
        <w:rPr>
          <w:rFonts w:hint="eastAsia" w:ascii="Times New Roman" w:hAnsi="Times New Roman" w:eastAsia="宋体" w:cs="Times New Roman"/>
          <w:sz w:val="24"/>
          <w:szCs w:val="32"/>
          <w:lang w:eastAsia="zh-CN"/>
        </w:rPr>
        <w:t>只</w:t>
      </w:r>
      <w:r>
        <w:rPr>
          <w:rFonts w:hint="eastAsia" w:ascii="Times New Roman" w:hAnsi="Times New Roman" w:eastAsia="宋体" w:cs="Times New Roman"/>
          <w:sz w:val="24"/>
          <w:szCs w:val="32"/>
          <w:lang w:val="en-US" w:eastAsia="zh-CN"/>
        </w:rPr>
        <w:t>昼间</w:t>
      </w:r>
      <w:r>
        <w:rPr>
          <w:rFonts w:hint="default" w:ascii="Times New Roman" w:hAnsi="Times New Roman" w:eastAsia="宋体" w:cs="Times New Roman"/>
          <w:sz w:val="24"/>
          <w:szCs w:val="32"/>
        </w:rPr>
        <w:t>监测一次。监测方法</w:t>
      </w:r>
      <w:r>
        <w:rPr>
          <w:rFonts w:hint="eastAsia" w:ascii="Times New Roman" w:hAnsi="Times New Roman" w:eastAsia="宋体" w:cs="Times New Roman"/>
          <w:sz w:val="24"/>
          <w:szCs w:val="32"/>
          <w:lang w:eastAsia="zh-CN"/>
        </w:rPr>
        <w:t>东、南、</w:t>
      </w:r>
      <w:r>
        <w:rPr>
          <w:rFonts w:hint="eastAsia" w:ascii="Times New Roman" w:hAnsi="Times New Roman" w:eastAsia="宋体" w:cs="Times New Roman"/>
          <w:sz w:val="24"/>
          <w:szCs w:val="32"/>
        </w:rPr>
        <w:t>西、</w:t>
      </w:r>
      <w:r>
        <w:rPr>
          <w:rFonts w:hint="eastAsia" w:ascii="Times New Roman" w:hAnsi="Times New Roman" w:eastAsia="宋体" w:cs="Times New Roman"/>
          <w:sz w:val="24"/>
          <w:szCs w:val="32"/>
          <w:lang w:eastAsia="zh-CN"/>
        </w:rPr>
        <w:t>北四</w:t>
      </w:r>
      <w:r>
        <w:rPr>
          <w:rFonts w:hint="default" w:ascii="Times New Roman" w:hAnsi="Times New Roman" w:eastAsia="宋体" w:cs="Times New Roman"/>
          <w:sz w:val="24"/>
          <w:szCs w:val="32"/>
        </w:rPr>
        <w:t>厂界噪声</w:t>
      </w:r>
      <w:r>
        <w:rPr>
          <w:rFonts w:hint="eastAsia" w:ascii="Times New Roman" w:hAnsi="Times New Roman" w:eastAsia="宋体" w:cs="Times New Roman"/>
          <w:sz w:val="24"/>
          <w:szCs w:val="32"/>
        </w:rPr>
        <w:t>按照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lang w:val="en-GB" w:eastAsia="zh-CN"/>
        </w:rPr>
        <w:t>《工业企业厂界环境噪声排放标准》（GB12348-2008）</w:t>
      </w:r>
      <w:r>
        <w:rPr>
          <w:rFonts w:hint="eastAsia" w:ascii="Times New Roman" w:hAnsi="Times New Roman" w:eastAsia="宋体" w:cs="Times New Roman"/>
          <w:color w:val="000000"/>
          <w:sz w:val="24"/>
          <w:szCs w:val="24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lang w:val="en-GB" w:eastAsia="zh-CN"/>
        </w:rPr>
        <w:t>类</w:t>
      </w:r>
      <w:r>
        <w:rPr>
          <w:rFonts w:hint="eastAsia" w:ascii="Times New Roman" w:hAnsi="Times New Roman" w:eastAsia="宋体" w:cs="Times New Roman"/>
          <w:color w:val="000000"/>
          <w:sz w:val="24"/>
          <w:szCs w:val="24"/>
          <w:lang w:val="en-GB" w:eastAsia="zh-CN"/>
        </w:rPr>
        <w:t>标准</w:t>
      </w:r>
      <w:r>
        <w:rPr>
          <w:rFonts w:hint="default" w:ascii="Times New Roman" w:hAnsi="Times New Roman" w:eastAsia="宋体" w:cs="Times New Roman"/>
          <w:sz w:val="24"/>
          <w:szCs w:val="32"/>
        </w:rPr>
        <w:t>的要求</w:t>
      </w:r>
      <w:r>
        <w:rPr>
          <w:rFonts w:hint="eastAsia" w:ascii="Times New Roman" w:hAnsi="Times New Roman" w:eastAsia="宋体" w:cs="Times New Roman"/>
          <w:sz w:val="24"/>
          <w:szCs w:val="32"/>
          <w:lang w:eastAsia="zh-CN"/>
        </w:rPr>
        <w:t>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480" w:firstLineChars="200"/>
        <w:jc w:val="right"/>
        <w:textAlignment w:val="auto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480" w:firstLineChars="200"/>
        <w:jc w:val="right"/>
        <w:textAlignment w:val="auto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480" w:firstLineChars="200"/>
        <w:jc w:val="right"/>
        <w:textAlignment w:val="auto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480" w:firstLineChars="200"/>
        <w:jc w:val="right"/>
        <w:textAlignment w:val="auto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480" w:firstLineChars="200"/>
        <w:jc w:val="right"/>
        <w:textAlignment w:val="auto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480" w:firstLineChars="200"/>
        <w:jc w:val="right"/>
        <w:textAlignment w:val="auto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480" w:firstLineChars="200"/>
        <w:jc w:val="right"/>
        <w:textAlignment w:val="auto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480" w:firstLineChars="200"/>
        <w:jc w:val="right"/>
        <w:textAlignment w:val="auto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480" w:firstLineChars="200"/>
        <w:jc w:val="right"/>
        <w:textAlignment w:val="auto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480" w:firstLineChars="200"/>
        <w:jc w:val="right"/>
        <w:textAlignment w:val="auto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480" w:firstLineChars="200"/>
        <w:jc w:val="right"/>
        <w:textAlignment w:val="auto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480" w:firstLineChars="200"/>
        <w:jc w:val="right"/>
        <w:textAlignment w:val="auto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480" w:firstLineChars="200"/>
        <w:jc w:val="right"/>
        <w:textAlignment w:val="auto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480" w:firstLineChars="200"/>
        <w:jc w:val="right"/>
        <w:textAlignment w:val="auto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480" w:firstLineChars="200"/>
        <w:jc w:val="right"/>
        <w:textAlignment w:val="auto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righ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附件六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both"/>
        <w:textAlignment w:val="auto"/>
        <w:rPr>
          <w:rFonts w:hint="eastAsia" w:ascii="黑体" w:hAnsi="黑体" w:eastAsia="黑体" w:cs="黑体"/>
          <w:sz w:val="24"/>
          <w:szCs w:val="24"/>
          <w:lang w:eastAsia="zh-CN"/>
        </w:rPr>
      </w:pPr>
      <w:r>
        <w:drawing>
          <wp:inline distT="0" distB="0" distL="114300" distR="114300">
            <wp:extent cx="5758180" cy="8190865"/>
            <wp:effectExtent l="0" t="0" r="13970" b="63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819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both"/>
        <w:textAlignment w:val="auto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420" w:firstLineChars="200"/>
        <w:jc w:val="center"/>
        <w:textAlignment w:val="auto"/>
        <w:sectPr>
          <w:pgSz w:w="11906" w:h="16838"/>
          <w:pgMar w:top="1440" w:right="1417" w:bottom="1440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480" w:firstLineChars="200"/>
        <w:jc w:val="righ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附件七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both"/>
        <w:textAlignment w:val="auto"/>
      </w:pP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drawing>
          <wp:inline distT="0" distB="0" distL="114300" distR="114300">
            <wp:extent cx="5756910" cy="8013065"/>
            <wp:effectExtent l="0" t="0" r="15240" b="698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801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480" w:firstLineChars="200"/>
        <w:jc w:val="righ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  <w:sectPr>
          <w:pgSz w:w="11906" w:h="16838"/>
          <w:pgMar w:top="1440" w:right="1417" w:bottom="1440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both"/>
        <w:textAlignment w:val="auto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both"/>
        <w:textAlignment w:val="auto"/>
        <w:rPr>
          <w:rFonts w:hint="eastAsia" w:ascii="黑体" w:hAnsi="黑体" w:eastAsia="黑体" w:cs="黑体"/>
          <w:sz w:val="24"/>
          <w:szCs w:val="24"/>
          <w:lang w:eastAsia="zh-CN"/>
        </w:rPr>
        <w:sectPr>
          <w:pgSz w:w="11906" w:h="16838"/>
          <w:pgMar w:top="1440" w:right="1417" w:bottom="1440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755005" cy="7903845"/>
            <wp:effectExtent l="0" t="0" r="17145" b="19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790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both"/>
        <w:textAlignment w:val="auto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both"/>
        <w:textAlignment w:val="auto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both"/>
        <w:textAlignment w:val="auto"/>
        <w:rPr>
          <w:rFonts w:hint="eastAsia" w:ascii="黑体" w:hAnsi="黑体" w:eastAsia="黑体" w:cs="黑体"/>
          <w:sz w:val="24"/>
          <w:szCs w:val="24"/>
          <w:lang w:eastAsia="zh-CN"/>
        </w:rPr>
        <w:sectPr>
          <w:pgSz w:w="11906" w:h="16838"/>
          <w:pgMar w:top="1440" w:right="1417" w:bottom="1440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760085" cy="7888605"/>
            <wp:effectExtent l="0" t="0" r="12065" b="1714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88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both"/>
        <w:textAlignment w:val="auto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both"/>
        <w:textAlignment w:val="auto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both"/>
        <w:textAlignment w:val="auto"/>
        <w:rPr>
          <w:rFonts w:hint="eastAsia" w:ascii="黑体" w:hAnsi="黑体" w:eastAsia="黑体" w:cs="黑体"/>
          <w:sz w:val="24"/>
          <w:szCs w:val="24"/>
          <w:lang w:eastAsia="zh-CN"/>
        </w:rPr>
        <w:sectPr>
          <w:pgSz w:w="11906" w:h="16838"/>
          <w:pgMar w:top="1440" w:right="1417" w:bottom="1440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757545" cy="7820025"/>
            <wp:effectExtent l="0" t="0" r="14605" b="952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both"/>
        <w:textAlignment w:val="auto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both"/>
        <w:textAlignment w:val="auto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both"/>
        <w:textAlignment w:val="auto"/>
        <w:rPr>
          <w:rFonts w:hint="eastAsia" w:ascii="黑体" w:hAnsi="黑体" w:eastAsia="黑体" w:cs="黑体"/>
          <w:sz w:val="24"/>
          <w:szCs w:val="24"/>
          <w:lang w:eastAsia="zh-CN"/>
        </w:rPr>
        <w:sectPr>
          <w:pgSz w:w="11906" w:h="16838"/>
          <w:pgMar w:top="1440" w:right="1417" w:bottom="1440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758180" cy="7768590"/>
            <wp:effectExtent l="0" t="0" r="13970" b="381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776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both"/>
        <w:textAlignment w:val="auto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both"/>
        <w:textAlignment w:val="auto"/>
        <w:rPr>
          <w:rFonts w:hint="eastAsia" w:ascii="黑体" w:hAnsi="黑体" w:eastAsia="黑体" w:cs="黑体"/>
          <w:sz w:val="24"/>
          <w:szCs w:val="24"/>
          <w:lang w:eastAsia="zh-CN"/>
        </w:rPr>
        <w:sectPr>
          <w:pgSz w:w="11906" w:h="16838"/>
          <w:pgMar w:top="1440" w:right="1417" w:bottom="1440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757545" cy="7890510"/>
            <wp:effectExtent l="0" t="0" r="14605" b="1524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789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both"/>
        <w:textAlignment w:val="auto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both"/>
        <w:textAlignment w:val="auto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both"/>
        <w:textAlignment w:val="auto"/>
        <w:rPr>
          <w:rFonts w:hint="eastAsia" w:ascii="黑体" w:hAnsi="黑体" w:eastAsia="黑体" w:cs="黑体"/>
          <w:sz w:val="24"/>
          <w:szCs w:val="24"/>
          <w:lang w:eastAsia="zh-CN"/>
        </w:rPr>
        <w:sectPr>
          <w:pgSz w:w="11906" w:h="16838"/>
          <w:pgMar w:top="1440" w:right="1417" w:bottom="1440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760720" cy="7699375"/>
            <wp:effectExtent l="0" t="0" r="11430" b="1587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9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both"/>
        <w:textAlignment w:val="auto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both"/>
        <w:textAlignment w:val="auto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both"/>
        <w:textAlignment w:val="auto"/>
        <w:rPr>
          <w:rFonts w:hint="eastAsia" w:ascii="黑体" w:hAnsi="黑体" w:eastAsia="黑体" w:cs="黑体"/>
          <w:sz w:val="24"/>
          <w:szCs w:val="24"/>
          <w:lang w:eastAsia="zh-CN"/>
        </w:rPr>
        <w:sectPr>
          <w:pgSz w:w="11906" w:h="16838"/>
          <w:pgMar w:top="1440" w:right="1417" w:bottom="1440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760085" cy="8007350"/>
            <wp:effectExtent l="0" t="0" r="12065" b="1270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00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both"/>
        <w:textAlignment w:val="auto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both"/>
        <w:textAlignment w:val="auto"/>
        <w:rPr>
          <w:rFonts w:hint="eastAsia" w:ascii="黑体" w:hAnsi="黑体" w:eastAsia="黑体" w:cs="黑体"/>
          <w:sz w:val="24"/>
          <w:szCs w:val="24"/>
          <w:lang w:eastAsia="zh-CN"/>
        </w:rPr>
      </w:pP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both"/>
        <w:textAlignment w:val="auto"/>
        <w:rPr>
          <w:rFonts w:hint="eastAsia" w:ascii="黑体" w:hAnsi="黑体" w:eastAsia="黑体" w:cs="黑体"/>
          <w:sz w:val="24"/>
          <w:szCs w:val="24"/>
          <w:lang w:eastAsia="zh-CN"/>
        </w:rPr>
        <w:sectPr>
          <w:pgSz w:w="11906" w:h="16838"/>
          <w:pgMar w:top="1440" w:right="1417" w:bottom="1440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756275" cy="7955280"/>
            <wp:effectExtent l="0" t="0" r="15875" b="762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795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Chars="0" w:firstLine="480" w:firstLineChars="200"/>
        <w:jc w:val="righ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附件八</w:t>
      </w:r>
    </w:p>
    <w:p>
      <w:pPr>
        <w:spacing w:line="360" w:lineRule="auto"/>
        <w:jc w:val="center"/>
        <w:rPr>
          <w:rFonts w:ascii="Times New Roman" w:hAnsi="Times New Roman"/>
          <w:b/>
          <w:sz w:val="36"/>
          <w:szCs w:val="24"/>
        </w:rPr>
      </w:pPr>
      <w:r>
        <w:drawing>
          <wp:inline distT="0" distB="0" distL="114300" distR="114300">
            <wp:extent cx="5270500" cy="7416800"/>
            <wp:effectExtent l="0" t="0" r="6350" b="1270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4"/>
          <w:szCs w:val="24"/>
          <w:lang w:eastAsia="zh-CN"/>
        </w:rPr>
        <w:tab/>
      </w:r>
    </w:p>
    <w:p>
      <w:pPr>
        <w:spacing w:line="360" w:lineRule="auto"/>
        <w:rPr>
          <w:rFonts w:ascii="Times New Roman" w:hAnsi="Times New Roman"/>
          <w:sz w:val="24"/>
          <w:szCs w:val="24"/>
        </w:rPr>
      </w:pPr>
    </w:p>
    <w:p>
      <w:pPr>
        <w:spacing w:line="360" w:lineRule="auto"/>
        <w:rPr>
          <w:rFonts w:ascii="Times New Roman" w:hAnsi="Times New Roman"/>
          <w:sz w:val="24"/>
          <w:szCs w:val="24"/>
        </w:rPr>
      </w:pPr>
    </w:p>
    <w:p>
      <w:pPr>
        <w:spacing w:line="360" w:lineRule="auto"/>
        <w:jc w:val="center"/>
      </w:pPr>
    </w:p>
    <w:p>
      <w:pPr>
        <w:spacing w:line="360" w:lineRule="auto"/>
        <w:jc w:val="center"/>
      </w:pPr>
    </w:p>
    <w:p>
      <w:pPr>
        <w:spacing w:line="360" w:lineRule="auto"/>
        <w:jc w:val="center"/>
        <w:rPr>
          <w:rFonts w:hint="eastAsia" w:ascii="Times New Roman" w:hAnsi="Times New Roman"/>
          <w:b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135" cy="7399020"/>
            <wp:effectExtent l="0" t="0" r="5715" b="1143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9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b/>
          <w:sz w:val="24"/>
          <w:szCs w:val="24"/>
          <w:lang w:val="en-US" w:eastAsia="zh-CN"/>
        </w:rPr>
        <w:t xml:space="preserve"> </w:t>
      </w:r>
    </w:p>
    <w:p>
      <w:pPr>
        <w:pStyle w:val="2"/>
        <w:rPr>
          <w:rFonts w:hint="eastAsia" w:ascii="Times New Roman" w:hAnsi="Times New Roman"/>
          <w:b/>
          <w:sz w:val="24"/>
          <w:szCs w:val="24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 w:ascii="Times New Roman" w:hAnsi="Times New Roman"/>
          <w:b/>
          <w:sz w:val="24"/>
          <w:szCs w:val="24"/>
          <w:lang w:val="en-US" w:eastAsia="zh-C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</w:p>
    <w:p>
      <w:pPr>
        <w:pStyle w:val="2"/>
        <w:ind w:left="0" w:leftChars="0" w:firstLine="0" w:firstLineChars="0"/>
        <w:rPr>
          <w:rFonts w:hint="eastAsia" w:ascii="Times New Roman" w:hAnsi="Times New Roman"/>
          <w:b/>
          <w:sz w:val="24"/>
          <w:szCs w:val="24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 w:ascii="Times New Roman" w:hAnsi="Times New Roman"/>
          <w:b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81915</wp:posOffset>
            </wp:positionV>
            <wp:extent cx="5273675" cy="7423785"/>
            <wp:effectExtent l="0" t="0" r="3175" b="5715"/>
            <wp:wrapNone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2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ind w:left="0" w:leftChars="0" w:firstLine="0" w:firstLineChars="0"/>
        <w:rPr>
          <w:rFonts w:hint="eastAsia" w:ascii="Times New Roman" w:hAnsi="Times New Roman"/>
          <w:b/>
          <w:sz w:val="24"/>
          <w:szCs w:val="24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 w:ascii="Times New Roman" w:hAnsi="Times New Roman"/>
          <w:b/>
          <w:sz w:val="24"/>
          <w:szCs w:val="24"/>
          <w:lang w:val="en-US"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</w:p>
    <w:p>
      <w:pPr>
        <w:pStyle w:val="2"/>
        <w:ind w:left="0" w:leftChars="0" w:firstLine="0" w:firstLineChars="0"/>
        <w:rPr>
          <w:rFonts w:hint="eastAsia" w:ascii="Times New Roman" w:hAnsi="Times New Roman"/>
          <w:b/>
          <w:sz w:val="24"/>
          <w:szCs w:val="24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 w:ascii="Times New Roman" w:hAnsi="Times New Roman"/>
          <w:b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129540</wp:posOffset>
            </wp:positionV>
            <wp:extent cx="5273040" cy="7447915"/>
            <wp:effectExtent l="0" t="0" r="3810" b="635"/>
            <wp:wrapNone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4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ind w:left="0" w:leftChars="0" w:firstLine="0" w:firstLineChars="0"/>
        <w:rPr>
          <w:rFonts w:hint="eastAsia" w:ascii="Times New Roman" w:hAnsi="Times New Roman"/>
          <w:b/>
          <w:sz w:val="24"/>
          <w:szCs w:val="24"/>
          <w:lang w:val="en-US"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bookmarkStart w:id="0" w:name="_GoBack"/>
      <w:bookmarkEnd w:id="0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center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</w:p>
    <w:p>
      <w:pPr>
        <w:rPr>
          <w:rFonts w:hint="eastAsia"/>
          <w:lang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865" cy="7473950"/>
            <wp:effectExtent l="0" t="0" r="6985" b="12700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7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center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0500" cy="7482840"/>
            <wp:effectExtent l="0" t="0" r="6350" b="381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jc w:val="right"/>
        <w:textAlignment w:val="auto"/>
        <w:rPr>
          <w:rFonts w:hint="eastAsia" w:ascii="宋体" w:hAnsi="宋体" w:eastAsia="宋体" w:cs="宋体"/>
          <w:b w:val="0"/>
          <w:bCs w:val="0"/>
          <w:lang w:val="en-U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附件九</w:t>
      </w:r>
    </w:p>
    <w:p>
      <w:pPr>
        <w:ind w:firstLine="480"/>
        <w:jc w:val="center"/>
        <w:rPr>
          <w:b/>
          <w:bCs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  <w:t>公众意见调查统计结果表</w:t>
      </w:r>
    </w:p>
    <w:tbl>
      <w:tblPr>
        <w:tblStyle w:val="11"/>
        <w:tblpPr w:leftFromText="180" w:rightFromText="180" w:vertAnchor="text" w:horzAnchor="page" w:tblpX="1522" w:tblpY="596"/>
        <w:tblOverlap w:val="never"/>
        <w:tblW w:w="910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7"/>
        <w:gridCol w:w="378"/>
        <w:gridCol w:w="2332"/>
        <w:gridCol w:w="2004"/>
        <w:gridCol w:w="1456"/>
        <w:gridCol w:w="1232"/>
        <w:gridCol w:w="12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87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个人概况</w:t>
            </w:r>
          </w:p>
        </w:tc>
        <w:tc>
          <w:tcPr>
            <w:tcW w:w="2710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3460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男</w:t>
            </w:r>
          </w:p>
        </w:tc>
        <w:tc>
          <w:tcPr>
            <w:tcW w:w="2448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87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10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  <w:t>选择项占百分比（%）</w:t>
            </w:r>
          </w:p>
        </w:tc>
        <w:tc>
          <w:tcPr>
            <w:tcW w:w="3460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58</w:t>
            </w:r>
          </w:p>
        </w:tc>
        <w:tc>
          <w:tcPr>
            <w:tcW w:w="2448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87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10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居住地区</w:t>
            </w:r>
          </w:p>
        </w:tc>
        <w:tc>
          <w:tcPr>
            <w:tcW w:w="5908" w:type="dxa"/>
            <w:gridSpan w:val="4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厂区周边人群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87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10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职业</w:t>
            </w:r>
          </w:p>
        </w:tc>
        <w:tc>
          <w:tcPr>
            <w:tcW w:w="2004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工人</w:t>
            </w:r>
          </w:p>
        </w:tc>
        <w:tc>
          <w:tcPr>
            <w:tcW w:w="145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农民</w:t>
            </w:r>
          </w:p>
        </w:tc>
        <w:tc>
          <w:tcPr>
            <w:tcW w:w="1232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干部</w:t>
            </w:r>
          </w:p>
        </w:tc>
        <w:tc>
          <w:tcPr>
            <w:tcW w:w="121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87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10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  <w:t>选择项占百分比（%）</w:t>
            </w:r>
          </w:p>
        </w:tc>
        <w:tc>
          <w:tcPr>
            <w:tcW w:w="2004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145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46</w:t>
            </w:r>
          </w:p>
        </w:tc>
        <w:tc>
          <w:tcPr>
            <w:tcW w:w="1232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121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87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10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文化程度</w:t>
            </w:r>
          </w:p>
        </w:tc>
        <w:tc>
          <w:tcPr>
            <w:tcW w:w="2004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专科以上</w:t>
            </w:r>
          </w:p>
        </w:tc>
        <w:tc>
          <w:tcPr>
            <w:tcW w:w="145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高中及中专</w:t>
            </w:r>
          </w:p>
        </w:tc>
        <w:tc>
          <w:tcPr>
            <w:tcW w:w="1232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初中以下</w:t>
            </w:r>
          </w:p>
        </w:tc>
        <w:tc>
          <w:tcPr>
            <w:tcW w:w="121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87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10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pacing w:val="-6"/>
                <w:szCs w:val="21"/>
                <w14:textFill>
                  <w14:solidFill>
                    <w14:schemeClr w14:val="tx1"/>
                  </w14:solidFill>
                </w14:textFill>
              </w:rPr>
              <w:t>选择项人数/占百分比</w:t>
            </w:r>
          </w:p>
        </w:tc>
        <w:tc>
          <w:tcPr>
            <w:tcW w:w="2004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30</w:t>
            </w:r>
          </w:p>
        </w:tc>
        <w:tc>
          <w:tcPr>
            <w:tcW w:w="145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34</w:t>
            </w:r>
          </w:p>
        </w:tc>
        <w:tc>
          <w:tcPr>
            <w:tcW w:w="1232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36</w:t>
            </w:r>
          </w:p>
        </w:tc>
        <w:tc>
          <w:tcPr>
            <w:tcW w:w="121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87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调查内容</w:t>
            </w:r>
          </w:p>
        </w:tc>
        <w:tc>
          <w:tcPr>
            <w:tcW w:w="378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施工期</w:t>
            </w:r>
          </w:p>
        </w:tc>
        <w:tc>
          <w:tcPr>
            <w:tcW w:w="4336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噪声对您的影响程度</w:t>
            </w:r>
          </w:p>
        </w:tc>
        <w:tc>
          <w:tcPr>
            <w:tcW w:w="145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没有影响</w:t>
            </w:r>
          </w:p>
        </w:tc>
        <w:tc>
          <w:tcPr>
            <w:tcW w:w="1232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影响较轻</w:t>
            </w:r>
          </w:p>
        </w:tc>
        <w:tc>
          <w:tcPr>
            <w:tcW w:w="121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影响较重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87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36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选择项占百分比（%）</w:t>
            </w:r>
          </w:p>
        </w:tc>
        <w:tc>
          <w:tcPr>
            <w:tcW w:w="145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1232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87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36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扬尘对您的影响程度</w:t>
            </w:r>
          </w:p>
        </w:tc>
        <w:tc>
          <w:tcPr>
            <w:tcW w:w="145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没有影响</w:t>
            </w:r>
          </w:p>
        </w:tc>
        <w:tc>
          <w:tcPr>
            <w:tcW w:w="1232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影响较轻</w:t>
            </w:r>
          </w:p>
        </w:tc>
        <w:tc>
          <w:tcPr>
            <w:tcW w:w="121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影响较重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87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36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选择项占百分比（%）</w:t>
            </w:r>
          </w:p>
        </w:tc>
        <w:tc>
          <w:tcPr>
            <w:tcW w:w="145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1232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87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36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废水对您的影响程度</w:t>
            </w:r>
          </w:p>
        </w:tc>
        <w:tc>
          <w:tcPr>
            <w:tcW w:w="145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没有影响</w:t>
            </w:r>
          </w:p>
        </w:tc>
        <w:tc>
          <w:tcPr>
            <w:tcW w:w="1232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影响较轻</w:t>
            </w:r>
          </w:p>
        </w:tc>
        <w:tc>
          <w:tcPr>
            <w:tcW w:w="121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影响较重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87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36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选择项占百分比（%）</w:t>
            </w:r>
          </w:p>
        </w:tc>
        <w:tc>
          <w:tcPr>
            <w:tcW w:w="145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1232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87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36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是否有扰民现象或纠纷</w:t>
            </w:r>
          </w:p>
        </w:tc>
        <w:tc>
          <w:tcPr>
            <w:tcW w:w="145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有</w:t>
            </w:r>
          </w:p>
        </w:tc>
        <w:tc>
          <w:tcPr>
            <w:tcW w:w="1232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没有</w:t>
            </w:r>
          </w:p>
        </w:tc>
        <w:tc>
          <w:tcPr>
            <w:tcW w:w="121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87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36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选择项占百分比（%）</w:t>
            </w:r>
          </w:p>
        </w:tc>
        <w:tc>
          <w:tcPr>
            <w:tcW w:w="145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32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121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87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8" w:type="dxa"/>
            <w:vMerge w:val="restart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试生产期</w:t>
            </w:r>
          </w:p>
        </w:tc>
        <w:tc>
          <w:tcPr>
            <w:tcW w:w="4336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废气对您的影响程度</w:t>
            </w:r>
          </w:p>
        </w:tc>
        <w:tc>
          <w:tcPr>
            <w:tcW w:w="145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没有影响</w:t>
            </w:r>
          </w:p>
        </w:tc>
        <w:tc>
          <w:tcPr>
            <w:tcW w:w="1232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影响较轻</w:t>
            </w:r>
          </w:p>
        </w:tc>
        <w:tc>
          <w:tcPr>
            <w:tcW w:w="121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影响较重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87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36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选择项占百分比（%）</w:t>
            </w:r>
          </w:p>
        </w:tc>
        <w:tc>
          <w:tcPr>
            <w:tcW w:w="145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1232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87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36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废水对您的影响程度</w:t>
            </w:r>
          </w:p>
        </w:tc>
        <w:tc>
          <w:tcPr>
            <w:tcW w:w="145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没有影响</w:t>
            </w:r>
          </w:p>
        </w:tc>
        <w:tc>
          <w:tcPr>
            <w:tcW w:w="1232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影响较轻</w:t>
            </w:r>
          </w:p>
        </w:tc>
        <w:tc>
          <w:tcPr>
            <w:tcW w:w="121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影响较重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87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36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选择项占百分比（%）</w:t>
            </w:r>
          </w:p>
        </w:tc>
        <w:tc>
          <w:tcPr>
            <w:tcW w:w="145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1232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87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36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噪声对您的影响程度</w:t>
            </w:r>
          </w:p>
        </w:tc>
        <w:tc>
          <w:tcPr>
            <w:tcW w:w="145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没有影响</w:t>
            </w:r>
          </w:p>
        </w:tc>
        <w:tc>
          <w:tcPr>
            <w:tcW w:w="1232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影响较轻</w:t>
            </w:r>
          </w:p>
        </w:tc>
        <w:tc>
          <w:tcPr>
            <w:tcW w:w="121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影响较重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87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36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选择项占百分比（%）</w:t>
            </w:r>
          </w:p>
        </w:tc>
        <w:tc>
          <w:tcPr>
            <w:tcW w:w="145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1232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87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36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固废废物储运及处理处置对您的影响程度</w:t>
            </w:r>
          </w:p>
        </w:tc>
        <w:tc>
          <w:tcPr>
            <w:tcW w:w="145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没有影响</w:t>
            </w:r>
          </w:p>
        </w:tc>
        <w:tc>
          <w:tcPr>
            <w:tcW w:w="1232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影响较轻</w:t>
            </w:r>
          </w:p>
        </w:tc>
        <w:tc>
          <w:tcPr>
            <w:tcW w:w="121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影响较重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87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8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36" w:type="dxa"/>
            <w:gridSpan w:val="2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选择项占百分比（%）</w:t>
            </w:r>
          </w:p>
        </w:tc>
        <w:tc>
          <w:tcPr>
            <w:tcW w:w="145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1232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87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14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您对该公司本项目的环境保护工作满意程度？</w:t>
            </w:r>
          </w:p>
        </w:tc>
        <w:tc>
          <w:tcPr>
            <w:tcW w:w="145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满意</w:t>
            </w:r>
          </w:p>
        </w:tc>
        <w:tc>
          <w:tcPr>
            <w:tcW w:w="1232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较满意</w:t>
            </w:r>
          </w:p>
        </w:tc>
        <w:tc>
          <w:tcPr>
            <w:tcW w:w="121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不满意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87" w:type="dxa"/>
            <w:vMerge w:val="continue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714" w:type="dxa"/>
            <w:gridSpan w:val="3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选择项占百分比（%）</w:t>
            </w:r>
          </w:p>
        </w:tc>
        <w:tc>
          <w:tcPr>
            <w:tcW w:w="145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eastAsia="宋体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  <w:tc>
          <w:tcPr>
            <w:tcW w:w="1232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6" w:type="dxa"/>
            <w:vAlign w:val="center"/>
          </w:tcPr>
          <w:p>
            <w:pPr>
              <w:spacing w:line="360" w:lineRule="exact"/>
              <w:jc w:val="center"/>
              <w:rPr>
                <w:rFonts w:hint="default" w:ascii="Times New Roman" w:hAnsi="Times New Roman" w:cs="Times New Roman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pStyle w:val="3"/>
      </w:pPr>
    </w:p>
    <w:p>
      <w:pPr>
        <w:pStyle w:val="3"/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9865" cy="6888480"/>
            <wp:effectExtent l="0" t="0" r="6985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8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2405" cy="7062470"/>
            <wp:effectExtent l="0" t="0" r="4445" b="508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6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710565</wp:posOffset>
            </wp:positionV>
            <wp:extent cx="5269230" cy="6912610"/>
            <wp:effectExtent l="0" t="0" r="7620" b="2540"/>
            <wp:wrapNone/>
            <wp:docPr id="4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1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righ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附件十</w:t>
      </w:r>
    </w:p>
    <w:p>
      <w:pPr>
        <w:pStyle w:val="2"/>
        <w:tabs>
          <w:tab w:val="center" w:pos="60"/>
        </w:tabs>
        <w:ind w:left="0" w:leftChars="0" w:firstLine="0" w:firstLineChars="0"/>
        <w:jc w:val="both"/>
        <w:rPr>
          <w:rFonts w:hint="eastAsia" w:ascii="黑体" w:hAnsi="黑体" w:eastAsia="黑体" w:cs="黑体"/>
          <w:b w:val="0"/>
          <w:bCs w:val="0"/>
          <w:sz w:val="24"/>
          <w:szCs w:val="24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31750</wp:posOffset>
            </wp:positionV>
            <wp:extent cx="5269230" cy="7570470"/>
            <wp:effectExtent l="0" t="0" r="7620" b="11430"/>
            <wp:wrapNone/>
            <wp:docPr id="6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7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 w:val="0"/>
          <w:bCs w:val="0"/>
          <w:sz w:val="24"/>
          <w:szCs w:val="24"/>
          <w:lang w:eastAsia="zh-CN"/>
        </w:rPr>
        <w:tab/>
      </w:r>
    </w:p>
    <w:p>
      <w:pPr>
        <w:pStyle w:val="2"/>
        <w:tabs>
          <w:tab w:val="left" w:pos="3479"/>
        </w:tabs>
        <w:ind w:left="0" w:leftChars="0" w:firstLine="0" w:firstLineChars="0"/>
        <w:jc w:val="left"/>
        <w:rPr>
          <w:rFonts w:hint="eastAsia" w:ascii="黑体" w:hAnsi="黑体" w:eastAsia="黑体" w:cs="黑体"/>
          <w:b w:val="0"/>
          <w:bCs w:val="0"/>
          <w:sz w:val="24"/>
          <w:szCs w:val="24"/>
          <w:lang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 w:val="0"/>
          <w:sz w:val="24"/>
          <w:szCs w:val="24"/>
          <w:lang w:eastAsia="zh-CN"/>
        </w:rPr>
        <w:tab/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righ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附件十一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360" w:lineRule="auto"/>
        <w:textAlignment w:val="auto"/>
        <w:rPr>
          <w:rFonts w:hint="eastAsia"/>
          <w:lang w:eastAsia="zh-CN"/>
        </w:rPr>
      </w:pPr>
    </w:p>
    <w:p>
      <w:pPr>
        <w:jc w:val="both"/>
        <w:rPr>
          <w:rFonts w:hint="eastAsia" w:ascii="黑体" w:hAnsi="黑体" w:eastAsia="黑体" w:cs="黑体"/>
          <w:b w:val="0"/>
          <w:bCs w:val="0"/>
          <w:sz w:val="24"/>
          <w:szCs w:val="24"/>
          <w:lang w:eastAsia="zh-CN"/>
        </w:rPr>
        <w:sectPr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73040" cy="7579995"/>
            <wp:effectExtent l="0" t="0" r="3810" b="1905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7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jc w:val="center"/>
        <w:rPr>
          <w:rFonts w:hint="eastAsia"/>
          <w:lang w:eastAsia="zh-CN"/>
        </w:rPr>
        <w:sectPr>
          <w:headerReference r:id="rId4" w:type="default"/>
          <w:pgSz w:w="11907" w:h="16840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9" w:charSpace="0"/>
        </w:sectPr>
      </w:pPr>
      <w:r>
        <w:drawing>
          <wp:inline distT="0" distB="0" distL="114300" distR="114300">
            <wp:extent cx="5271770" cy="8369935"/>
            <wp:effectExtent l="0" t="0" r="5080" b="12065"/>
            <wp:docPr id="2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36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righ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附件十二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  <w:lang w:eastAsia="zh-CN"/>
        </w:rPr>
        <w:sectPr>
          <w:pgSz w:w="11907" w:h="16840"/>
          <w:pgMar w:top="1797" w:right="1746" w:bottom="1575" w:left="1746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9" w:charSpace="0"/>
        </w:sectPr>
      </w:pPr>
      <w:r>
        <w:drawing>
          <wp:inline distT="0" distB="0" distL="114300" distR="114300">
            <wp:extent cx="5339080" cy="7564755"/>
            <wp:effectExtent l="0" t="0" r="13970" b="1714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39080" cy="756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0" w:leftChars="0" w:firstLine="0" w:firstLineChars="0"/>
      </w:pPr>
    </w:p>
    <w:p>
      <w:pPr>
        <w:pStyle w:val="4"/>
        <w:ind w:left="0" w:leftChars="0" w:firstLine="0" w:firstLineChars="0"/>
      </w:pPr>
    </w:p>
    <w:p>
      <w:pPr>
        <w:pStyle w:val="4"/>
        <w:ind w:left="0" w:leftChars="0" w:firstLine="0" w:firstLineChars="0"/>
        <w:rPr>
          <w:rFonts w:hint="eastAsia"/>
          <w:lang w:eastAsia="zh-CN"/>
        </w:rPr>
        <w:sectPr>
          <w:pgSz w:w="11907" w:h="16840"/>
          <w:pgMar w:top="1797" w:right="1746" w:bottom="1575" w:left="1746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9" w:charSpace="0"/>
        </w:sectPr>
      </w:pPr>
      <w:r>
        <w:drawing>
          <wp:inline distT="0" distB="0" distL="114300" distR="114300">
            <wp:extent cx="5339715" cy="7585710"/>
            <wp:effectExtent l="0" t="0" r="13335" b="1524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39715" cy="758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right"/>
        <w:textAlignment w:val="auto"/>
        <w:rPr>
          <w:rFonts w:hint="eastAsia" w:ascii="宋体" w:hAnsi="宋体" w:eastAsia="宋体" w:cs="宋体"/>
          <w:sz w:val="24"/>
          <w:szCs w:val="32"/>
          <w:lang w:eastAsia="zh-CN"/>
        </w:rPr>
      </w:pPr>
      <w:r>
        <w:rPr>
          <w:rFonts w:hint="eastAsia" w:ascii="宋体" w:hAnsi="宋体" w:eastAsia="宋体" w:cs="宋体"/>
          <w:sz w:val="24"/>
          <w:szCs w:val="32"/>
          <w:lang w:eastAsia="zh-CN"/>
        </w:rPr>
        <w:t>附件十三</w:t>
      </w:r>
    </w:p>
    <w:p>
      <w:pPr>
        <w:jc w:val="center"/>
        <w:rPr>
          <w:rFonts w:hint="eastAsia" w:ascii="黑体" w:eastAsia="黑体"/>
          <w:b/>
          <w:sz w:val="32"/>
          <w:szCs w:val="32"/>
        </w:rPr>
      </w:pPr>
      <w:r>
        <w:rPr>
          <w:rFonts w:hint="eastAsia" w:ascii="黑体" w:eastAsia="黑体"/>
          <w:b/>
          <w:sz w:val="28"/>
          <w:szCs w:val="28"/>
        </w:rPr>
        <w:t>建设项目工程竣工环境保护“三同时”验收登记表</w:t>
      </w:r>
    </w:p>
    <w:p>
      <w:pPr>
        <w:adjustRightInd w:val="0"/>
        <w:snapToGrid w:val="0"/>
        <w:rPr>
          <w:rFonts w:ascii="宋体" w:hAnsi="宋体"/>
          <w:sz w:val="18"/>
          <w:szCs w:val="18"/>
        </w:rPr>
      </w:pPr>
      <w:r>
        <w:rPr>
          <w:rFonts w:ascii="宋体" w:hAnsi="宋体"/>
          <w:sz w:val="18"/>
          <w:szCs w:val="18"/>
        </w:rPr>
        <w:t>填表单位（盖章）：</w:t>
      </w:r>
      <w:r>
        <w:rPr>
          <w:rFonts w:hint="eastAsia" w:ascii="宋体" w:hAnsi="宋体"/>
          <w:sz w:val="18"/>
          <w:szCs w:val="18"/>
          <w:lang w:eastAsia="zh-CN"/>
        </w:rPr>
        <w:t>濮阳和丰农业科技有限公司</w:t>
      </w:r>
      <w:r>
        <w:rPr>
          <w:rFonts w:hint="eastAsia" w:ascii="宋体" w:hAnsi="宋体"/>
          <w:sz w:val="18"/>
          <w:szCs w:val="18"/>
          <w:lang w:val="en-US" w:eastAsia="zh-CN"/>
        </w:rPr>
        <w:t xml:space="preserve">                    </w:t>
      </w:r>
      <w:r>
        <w:rPr>
          <w:rFonts w:hint="eastAsia" w:ascii="宋体" w:hAnsi="宋体"/>
          <w:sz w:val="18"/>
          <w:szCs w:val="18"/>
        </w:rPr>
        <w:t xml:space="preserve">    </w:t>
      </w:r>
      <w:r>
        <w:rPr>
          <w:rFonts w:ascii="宋体" w:hAnsi="宋体"/>
          <w:sz w:val="18"/>
          <w:szCs w:val="18"/>
        </w:rPr>
        <w:t xml:space="preserve">填表人（签字）： </w:t>
      </w:r>
      <w:r>
        <w:rPr>
          <w:rFonts w:hint="eastAsia" w:ascii="宋体" w:hAnsi="宋体"/>
          <w:sz w:val="18"/>
          <w:szCs w:val="18"/>
        </w:rPr>
        <w:t xml:space="preserve">               </w:t>
      </w:r>
      <w:r>
        <w:rPr>
          <w:rFonts w:ascii="宋体" w:hAnsi="宋体"/>
          <w:sz w:val="18"/>
          <w:szCs w:val="18"/>
        </w:rPr>
        <w:t xml:space="preserve">                     项目经办人（签字）：</w:t>
      </w:r>
    </w:p>
    <w:tbl>
      <w:tblPr>
        <w:tblStyle w:val="11"/>
        <w:tblpPr w:leftFromText="180" w:rightFromText="180" w:vertAnchor="text" w:horzAnchor="page" w:tblpXSpec="center" w:tblpY="84"/>
        <w:tblOverlap w:val="never"/>
        <w:tblW w:w="499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3"/>
        <w:gridCol w:w="813"/>
        <w:gridCol w:w="1145"/>
        <w:gridCol w:w="771"/>
        <w:gridCol w:w="89"/>
        <w:gridCol w:w="998"/>
        <w:gridCol w:w="227"/>
        <w:gridCol w:w="728"/>
        <w:gridCol w:w="359"/>
        <w:gridCol w:w="335"/>
        <w:gridCol w:w="799"/>
        <w:gridCol w:w="642"/>
        <w:gridCol w:w="581"/>
        <w:gridCol w:w="1094"/>
        <w:gridCol w:w="1155"/>
        <w:gridCol w:w="1133"/>
        <w:gridCol w:w="1137"/>
        <w:gridCol w:w="998"/>
        <w:gridCol w:w="768"/>
        <w:gridCol w:w="187"/>
        <w:gridCol w:w="9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50" w:type="pct"/>
            <w:vMerge w:val="restart"/>
            <w:noWrap w:val="0"/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建 设 项 目</w:t>
            </w:r>
          </w:p>
        </w:tc>
        <w:tc>
          <w:tcPr>
            <w:tcW w:w="637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项目名称</w:t>
            </w:r>
          </w:p>
        </w:tc>
        <w:tc>
          <w:tcPr>
            <w:tcW w:w="1611" w:type="pct"/>
            <w:gridSpan w:val="9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val="en-US" w:eastAsia="zh-CN"/>
              </w:rPr>
              <w:t>年产4000吨白玉菇（蟹味菇）工厂化生产项目</w:t>
            </w:r>
          </w:p>
        </w:tc>
        <w:tc>
          <w:tcPr>
            <w:tcW w:w="545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</w:rPr>
              <w:t>建设地点</w:t>
            </w:r>
          </w:p>
        </w:tc>
        <w:tc>
          <w:tcPr>
            <w:tcW w:w="2054" w:type="pct"/>
            <w:gridSpan w:val="7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/>
                <w:color w:val="auto"/>
                <w:sz w:val="18"/>
                <w:szCs w:val="18"/>
                <w:lang w:eastAsia="zh-CN"/>
              </w:rPr>
              <w:t>濮阳县濮东大道与铁丘路交叉口东南侧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50" w:type="pct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行业类别</w:t>
            </w:r>
          </w:p>
        </w:tc>
        <w:tc>
          <w:tcPr>
            <w:tcW w:w="1611" w:type="pct"/>
            <w:gridSpan w:val="9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2"/>
                <w:sz w:val="18"/>
                <w:szCs w:val="18"/>
                <w:lang w:val="en-US" w:eastAsia="zh-CN" w:bidi="ar-SA"/>
              </w:rPr>
              <w:t>A0142 食用菌种植</w:t>
            </w:r>
          </w:p>
        </w:tc>
        <w:tc>
          <w:tcPr>
            <w:tcW w:w="545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</w:rPr>
              <w:t>建设性质</w:t>
            </w:r>
          </w:p>
        </w:tc>
        <w:tc>
          <w:tcPr>
            <w:tcW w:w="2054" w:type="pct"/>
            <w:gridSpan w:val="7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eastAsia="zh-CN"/>
              </w:rPr>
              <w:t>☑</w:t>
            </w: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</w:rPr>
              <w:t xml:space="preserve">新 建            </w:t>
            </w: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eastAsia="zh-CN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</w:rPr>
              <w:t xml:space="preserve">改 扩 建             </w:t>
            </w: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lang w:eastAsia="zh-CN"/>
              </w:rPr>
              <w:t>□</w:t>
            </w: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</w:rPr>
              <w:t>技 术 改 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50" w:type="pct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  <w:t>设计生产能力</w:t>
            </w:r>
          </w:p>
        </w:tc>
        <w:tc>
          <w:tcPr>
            <w:tcW w:w="679" w:type="pct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年产4000吨白玉菇（蟹味菇）</w:t>
            </w:r>
          </w:p>
        </w:tc>
        <w:tc>
          <w:tcPr>
            <w:tcW w:w="354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shd w:val="clear" w:color="auto" w:fill="auto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shd w:val="clear" w:color="auto" w:fill="auto"/>
              </w:rPr>
              <w:t>项目开工日期</w:t>
            </w:r>
          </w:p>
        </w:tc>
        <w:tc>
          <w:tcPr>
            <w:tcW w:w="577" w:type="pct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shd w:val="clear" w:color="auto" w:fill="auto"/>
              </w:rPr>
              <w:t>20</w:t>
            </w: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  <w:t>19</w:t>
            </w: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shd w:val="clear" w:color="auto" w:fill="auto"/>
              </w:rPr>
              <w:t>年1月</w:t>
            </w:r>
          </w:p>
        </w:tc>
        <w:tc>
          <w:tcPr>
            <w:tcW w:w="545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18"/>
                <w:szCs w:val="18"/>
                <w:highlight w:val="none"/>
              </w:rPr>
              <w:t>实际生产能力</w:t>
            </w:r>
          </w:p>
        </w:tc>
        <w:tc>
          <w:tcPr>
            <w:tcW w:w="745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年产4000吨白玉菇（蟹味菇）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  <w:t>试运行日期</w:t>
            </w:r>
          </w:p>
        </w:tc>
        <w:tc>
          <w:tcPr>
            <w:tcW w:w="939" w:type="pct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202</w:t>
            </w: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年7月</w:t>
            </w: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10日~12月25日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50" w:type="pct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  <w:t>投资总概算</w:t>
            </w:r>
          </w:p>
        </w:tc>
        <w:tc>
          <w:tcPr>
            <w:tcW w:w="1611" w:type="pct"/>
            <w:gridSpan w:val="9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  <w:t>2500</w:t>
            </w: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shd w:val="clear" w:color="auto" w:fill="auto"/>
              </w:rPr>
              <w:t>万元</w:t>
            </w:r>
          </w:p>
        </w:tc>
        <w:tc>
          <w:tcPr>
            <w:tcW w:w="545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  <w:t>环保投资总概算</w:t>
            </w:r>
          </w:p>
        </w:tc>
        <w:tc>
          <w:tcPr>
            <w:tcW w:w="745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  <w:t>52万元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  <w:t>所占比例</w:t>
            </w:r>
          </w:p>
        </w:tc>
        <w:tc>
          <w:tcPr>
            <w:tcW w:w="939" w:type="pct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2.08%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50" w:type="pct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  <w:t>环评审批部门</w:t>
            </w:r>
          </w:p>
        </w:tc>
        <w:tc>
          <w:tcPr>
            <w:tcW w:w="1611" w:type="pct"/>
            <w:gridSpan w:val="9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yellow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  <w:t>清丰县环境保护局</w:t>
            </w:r>
          </w:p>
        </w:tc>
        <w:tc>
          <w:tcPr>
            <w:tcW w:w="545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  <w:t>批准文号</w:t>
            </w:r>
          </w:p>
        </w:tc>
        <w:tc>
          <w:tcPr>
            <w:tcW w:w="745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shd w:val="clear" w:color="auto" w:fill="auto"/>
                <w:lang w:val="en-US" w:eastAsia="zh-CN"/>
              </w:rPr>
              <w:t>清环然表[2018]8号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  <w:t>批准时间</w:t>
            </w:r>
          </w:p>
        </w:tc>
        <w:tc>
          <w:tcPr>
            <w:tcW w:w="939" w:type="pct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201</w:t>
            </w: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年1</w:t>
            </w: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月</w:t>
            </w: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5</w:t>
            </w: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50" w:type="pct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  <w:t>初步设计审批部门</w:t>
            </w:r>
          </w:p>
        </w:tc>
        <w:tc>
          <w:tcPr>
            <w:tcW w:w="1611" w:type="pct"/>
            <w:gridSpan w:val="9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/</w:t>
            </w:r>
          </w:p>
        </w:tc>
        <w:tc>
          <w:tcPr>
            <w:tcW w:w="545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  <w:t>批准文号</w:t>
            </w:r>
          </w:p>
        </w:tc>
        <w:tc>
          <w:tcPr>
            <w:tcW w:w="745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/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  <w:t>批准时间</w:t>
            </w:r>
          </w:p>
        </w:tc>
        <w:tc>
          <w:tcPr>
            <w:tcW w:w="939" w:type="pct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50" w:type="pct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  <w:t>环保验收审批部门</w:t>
            </w:r>
          </w:p>
        </w:tc>
        <w:tc>
          <w:tcPr>
            <w:tcW w:w="1611" w:type="pct"/>
            <w:gridSpan w:val="9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/</w:t>
            </w:r>
          </w:p>
        </w:tc>
        <w:tc>
          <w:tcPr>
            <w:tcW w:w="545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  <w:t>批准文号</w:t>
            </w:r>
          </w:p>
        </w:tc>
        <w:tc>
          <w:tcPr>
            <w:tcW w:w="745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  <w:t>/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  <w:t>批准时间</w:t>
            </w:r>
          </w:p>
        </w:tc>
        <w:tc>
          <w:tcPr>
            <w:tcW w:w="939" w:type="pct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50" w:type="pct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  <w:t>环保设施设计单位</w:t>
            </w:r>
          </w:p>
        </w:tc>
        <w:tc>
          <w:tcPr>
            <w:tcW w:w="679" w:type="pct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/</w:t>
            </w:r>
          </w:p>
        </w:tc>
        <w:tc>
          <w:tcPr>
            <w:tcW w:w="932" w:type="pct"/>
            <w:gridSpan w:val="5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  <w:t>环保设施施工单位</w:t>
            </w:r>
          </w:p>
        </w:tc>
        <w:tc>
          <w:tcPr>
            <w:tcW w:w="545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/</w:t>
            </w:r>
          </w:p>
        </w:tc>
        <w:tc>
          <w:tcPr>
            <w:tcW w:w="745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  <w:t>环保设施监测单位</w:t>
            </w:r>
          </w:p>
        </w:tc>
        <w:tc>
          <w:tcPr>
            <w:tcW w:w="1309" w:type="pct"/>
            <w:gridSpan w:val="5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50" w:type="pct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pct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  <w:t>实际总投资</w:t>
            </w:r>
          </w:p>
        </w:tc>
        <w:tc>
          <w:tcPr>
            <w:tcW w:w="1611" w:type="pct"/>
            <w:gridSpan w:val="9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2500</w:t>
            </w: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  <w:t>万元</w:t>
            </w:r>
          </w:p>
        </w:tc>
        <w:tc>
          <w:tcPr>
            <w:tcW w:w="545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  <w:t>实际环保投资</w:t>
            </w:r>
          </w:p>
        </w:tc>
        <w:tc>
          <w:tcPr>
            <w:tcW w:w="745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52</w:t>
            </w: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万元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  <w:t>所占比例</w:t>
            </w:r>
          </w:p>
        </w:tc>
        <w:tc>
          <w:tcPr>
            <w:tcW w:w="939" w:type="pct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.</w:t>
            </w: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08</w:t>
            </w: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50" w:type="pct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  <w:highlight w:val="none"/>
              </w:rPr>
              <w:t>废水治理</w:t>
            </w:r>
          </w:p>
        </w:tc>
        <w:tc>
          <w:tcPr>
            <w:tcW w:w="280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5万元</w:t>
            </w:r>
          </w:p>
        </w:tc>
        <w:tc>
          <w:tcPr>
            <w:tcW w:w="32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  <w:t>废气治理</w:t>
            </w:r>
          </w:p>
        </w:tc>
        <w:tc>
          <w:tcPr>
            <w:tcW w:w="311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22万元</w:t>
            </w:r>
          </w:p>
        </w:tc>
        <w:tc>
          <w:tcPr>
            <w:tcW w:w="226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  <w:t>噪声</w:t>
            </w:r>
          </w:p>
        </w:tc>
        <w:tc>
          <w:tcPr>
            <w:tcW w:w="467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16万元</w:t>
            </w:r>
          </w:p>
        </w:tc>
        <w:tc>
          <w:tcPr>
            <w:tcW w:w="545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  <w:t>固废治理</w:t>
            </w:r>
          </w:p>
        </w:tc>
        <w:tc>
          <w:tcPr>
            <w:tcW w:w="37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3万元</w:t>
            </w:r>
          </w:p>
        </w:tc>
        <w:tc>
          <w:tcPr>
            <w:tcW w:w="368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绿化及生态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5万元</w:t>
            </w:r>
          </w:p>
        </w:tc>
        <w:tc>
          <w:tcPr>
            <w:tcW w:w="575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  <w:t>其它</w:t>
            </w:r>
          </w:p>
        </w:tc>
        <w:tc>
          <w:tcPr>
            <w:tcW w:w="364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2" w:hRule="atLeast"/>
          <w:jc w:val="center"/>
        </w:trPr>
        <w:tc>
          <w:tcPr>
            <w:tcW w:w="150" w:type="pct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7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FF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  <w:t>新增废水处理能力</w:t>
            </w:r>
          </w:p>
        </w:tc>
        <w:tc>
          <w:tcPr>
            <w:tcW w:w="1611" w:type="pct"/>
            <w:gridSpan w:val="9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/</w:t>
            </w:r>
          </w:p>
        </w:tc>
        <w:tc>
          <w:tcPr>
            <w:tcW w:w="545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  <w:t>新增废气处理能力</w:t>
            </w:r>
          </w:p>
        </w:tc>
        <w:tc>
          <w:tcPr>
            <w:tcW w:w="745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vertAlign w:val="baseline"/>
                <w:lang w:val="en-US" w:eastAsia="zh-CN"/>
              </w:rPr>
              <w:t>/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  <w:t>年工作时</w:t>
            </w:r>
          </w:p>
        </w:tc>
        <w:tc>
          <w:tcPr>
            <w:tcW w:w="939" w:type="pct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FF000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2640</w:t>
            </w:r>
            <w:r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</w:rPr>
              <w:t>h/a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1" w:hRule="atLeast"/>
          <w:jc w:val="center"/>
        </w:trPr>
        <w:tc>
          <w:tcPr>
            <w:tcW w:w="788" w:type="pct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FF0000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  <w:t>建设单位</w:t>
            </w:r>
          </w:p>
        </w:tc>
        <w:tc>
          <w:tcPr>
            <w:tcW w:w="679" w:type="pct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FF0000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eastAsia="zh-CN"/>
              </w:rPr>
              <w:t>濮阳和丰农业科技有限公司</w:t>
            </w:r>
          </w:p>
        </w:tc>
        <w:tc>
          <w:tcPr>
            <w:tcW w:w="354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  <w:t>邮政编码</w:t>
            </w:r>
          </w:p>
        </w:tc>
        <w:tc>
          <w:tcPr>
            <w:tcW w:w="577" w:type="pct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45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7300</w:t>
            </w:r>
          </w:p>
        </w:tc>
        <w:tc>
          <w:tcPr>
            <w:tcW w:w="545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  <w:t>联系电话</w:t>
            </w:r>
          </w:p>
        </w:tc>
        <w:tc>
          <w:tcPr>
            <w:tcW w:w="745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13914566378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环评单位</w:t>
            </w:r>
          </w:p>
        </w:tc>
        <w:tc>
          <w:tcPr>
            <w:tcW w:w="939" w:type="pct"/>
            <w:gridSpan w:val="4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河南汇能阜力科技有限公司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50" w:type="pct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pacing w:val="20"/>
                <w:sz w:val="18"/>
                <w:szCs w:val="18"/>
              </w:rPr>
              <w:t>污染物排放达标与总量控制</w:t>
            </w:r>
          </w:p>
        </w:tc>
        <w:tc>
          <w:tcPr>
            <w:tcW w:w="637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  <w:t>污染物</w:t>
            </w:r>
          </w:p>
        </w:tc>
        <w:tc>
          <w:tcPr>
            <w:tcW w:w="25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cs="Times New Roman" w:eastAsiaTheme="minorEastAsia"/>
                <w:color w:val="auto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  <w:t>原有排放量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eastAsia="zh-CN"/>
              </w:rPr>
              <w:t>（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eastAsia="zh-CN"/>
              </w:rPr>
              <w:t>）</w:t>
            </w:r>
          </w:p>
        </w:tc>
        <w:tc>
          <w:tcPr>
            <w:tcW w:w="427" w:type="pct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cs="Times New Roman" w:eastAsiaTheme="minorEastAsia"/>
                <w:color w:val="auto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  <w:t>本期工程实际排放浓度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eastAsia="zh-CN"/>
              </w:rPr>
              <w:t>（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2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eastAsia="zh-CN"/>
              </w:rPr>
              <w:t>）</w:t>
            </w:r>
          </w:p>
        </w:tc>
        <w:tc>
          <w:tcPr>
            <w:tcW w:w="354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cs="Times New Roman" w:eastAsiaTheme="minorEastAsia"/>
                <w:color w:val="auto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  <w:t>本期工程允许排放浓度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eastAsia="zh-CN"/>
              </w:rPr>
              <w:t>（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3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eastAsia="zh-CN"/>
              </w:rPr>
              <w:t>）</w:t>
            </w:r>
          </w:p>
        </w:tc>
        <w:tc>
          <w:tcPr>
            <w:tcW w:w="369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cs="Times New Roman" w:eastAsiaTheme="minorEastAsia"/>
                <w:color w:val="auto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  <w:t>本期工程产生量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eastAsia="zh-CN"/>
              </w:rPr>
              <w:t>（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4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eastAsia="zh-CN"/>
              </w:rPr>
              <w:t>）</w:t>
            </w:r>
          </w:p>
        </w:tc>
        <w:tc>
          <w:tcPr>
            <w:tcW w:w="397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cs="Times New Roman" w:eastAsiaTheme="minorEastAsia"/>
                <w:color w:val="auto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  <w:t>本期工程自身削减量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（</w:t>
            </w: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  <w:t>5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eastAsia="zh-CN"/>
              </w:rPr>
              <w:t>）</w:t>
            </w:r>
          </w:p>
        </w:tc>
        <w:tc>
          <w:tcPr>
            <w:tcW w:w="35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cs="Times New Roman" w:eastAsiaTheme="minorEastAsia"/>
                <w:color w:val="auto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  <w:t>本期工程实际排放量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eastAsia="zh-CN"/>
              </w:rPr>
              <w:t>（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6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eastAsia="zh-CN"/>
              </w:rPr>
              <w:t>）</w:t>
            </w:r>
          </w:p>
        </w:tc>
        <w:tc>
          <w:tcPr>
            <w:tcW w:w="37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cs="Times New Roman" w:eastAsiaTheme="minorEastAsia"/>
                <w:color w:val="auto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  <w:t>本期工程核定排放总量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eastAsia="zh-CN"/>
              </w:rPr>
              <w:t>（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7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eastAsia="zh-CN"/>
              </w:rPr>
              <w:t>）</w:t>
            </w:r>
          </w:p>
        </w:tc>
        <w:tc>
          <w:tcPr>
            <w:tcW w:w="368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cs="Times New Roman" w:eastAsiaTheme="minorEastAsia"/>
                <w:color w:val="auto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  <w:t>本期工程“以新带老”削减量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eastAsia="zh-CN"/>
              </w:rPr>
              <w:t>（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8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eastAsia="zh-CN"/>
              </w:rPr>
              <w:t>）</w:t>
            </w:r>
          </w:p>
        </w:tc>
        <w:tc>
          <w:tcPr>
            <w:tcW w:w="37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both"/>
              <w:textAlignment w:val="auto"/>
              <w:rPr>
                <w:rFonts w:hint="eastAsia" w:ascii="Times New Roman" w:hAnsi="Times New Roman" w:cs="Times New Roman" w:eastAsiaTheme="minorEastAsia"/>
                <w:color w:val="auto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  <w:t>全厂实际排放总量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eastAsia="zh-CN"/>
              </w:rPr>
              <w:t>（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9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eastAsia="zh-CN"/>
              </w:rPr>
              <w:t>）</w:t>
            </w:r>
          </w:p>
        </w:tc>
        <w:tc>
          <w:tcPr>
            <w:tcW w:w="32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cs="Times New Roman" w:eastAsiaTheme="minorEastAsia"/>
                <w:color w:val="auto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  <w:t>全厂核定排放总量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eastAsia="zh-CN"/>
              </w:rPr>
              <w:t>（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10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eastAsia="zh-CN"/>
              </w:rPr>
              <w:t>）</w:t>
            </w:r>
          </w:p>
        </w:tc>
        <w:tc>
          <w:tcPr>
            <w:tcW w:w="311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both"/>
              <w:textAlignment w:val="auto"/>
              <w:rPr>
                <w:rFonts w:hint="eastAsia" w:ascii="Times New Roman" w:hAnsi="Times New Roman" w:cs="Times New Roman" w:eastAsiaTheme="minorEastAsia"/>
                <w:color w:val="auto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  <w:t>区域平衡替代削减量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eastAsia="zh-CN"/>
              </w:rPr>
              <w:t>（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11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eastAsia="zh-CN"/>
              </w:rPr>
              <w:t>）</w:t>
            </w:r>
          </w:p>
        </w:tc>
        <w:tc>
          <w:tcPr>
            <w:tcW w:w="303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cs="Times New Roman" w:eastAsiaTheme="minorEastAsia"/>
                <w:color w:val="auto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  <w:t>排放增减量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eastAsia="zh-CN"/>
              </w:rPr>
              <w:t>（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12</w:t>
            </w: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50" w:type="pct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37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18"/>
                <w:szCs w:val="18"/>
                <w:highlight w:val="none"/>
              </w:rPr>
              <w:t>废水</w:t>
            </w:r>
          </w:p>
        </w:tc>
        <w:tc>
          <w:tcPr>
            <w:tcW w:w="25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427" w:type="pct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54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369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97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35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7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68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2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11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3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50" w:type="pct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37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18"/>
                <w:szCs w:val="18"/>
                <w:highlight w:val="none"/>
              </w:rPr>
              <w:t>化学需氧量</w:t>
            </w:r>
          </w:p>
        </w:tc>
        <w:tc>
          <w:tcPr>
            <w:tcW w:w="25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427" w:type="pct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54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69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97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35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7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68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99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11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3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50" w:type="pct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37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18"/>
                <w:szCs w:val="18"/>
                <w:highlight w:val="none"/>
              </w:rPr>
              <w:t>氨      氮</w:t>
            </w:r>
          </w:p>
        </w:tc>
        <w:tc>
          <w:tcPr>
            <w:tcW w:w="25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427" w:type="pct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54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69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97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5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7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68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113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99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11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3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50" w:type="pct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37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18"/>
                <w:szCs w:val="18"/>
                <w:highlight w:val="none"/>
              </w:rPr>
              <w:t>废气</w:t>
            </w:r>
          </w:p>
        </w:tc>
        <w:tc>
          <w:tcPr>
            <w:tcW w:w="25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427" w:type="pct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354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369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97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35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 w:eastAsiaTheme="minorEastAsia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363</w:t>
            </w:r>
          </w:p>
        </w:tc>
        <w:tc>
          <w:tcPr>
            <w:tcW w:w="37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368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37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32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311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93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+363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4" w:hRule="atLeast"/>
          <w:jc w:val="center"/>
        </w:trPr>
        <w:tc>
          <w:tcPr>
            <w:tcW w:w="150" w:type="pct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37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color w:val="auto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18"/>
                <w:szCs w:val="18"/>
                <w:highlight w:val="none"/>
                <w:lang w:eastAsia="zh-CN"/>
              </w:rPr>
              <w:t>颗粒物</w:t>
            </w:r>
          </w:p>
        </w:tc>
        <w:tc>
          <w:tcPr>
            <w:tcW w:w="25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427" w:type="pct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54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69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97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5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7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68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37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2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11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303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50" w:type="pct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37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color w:val="auto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18"/>
                <w:szCs w:val="18"/>
                <w:highlight w:val="none"/>
              </w:rPr>
              <w:t>烟    尘</w:t>
            </w:r>
          </w:p>
        </w:tc>
        <w:tc>
          <w:tcPr>
            <w:tcW w:w="25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427" w:type="pct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3.8</w:t>
            </w:r>
          </w:p>
        </w:tc>
        <w:tc>
          <w:tcPr>
            <w:tcW w:w="354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5</w:t>
            </w:r>
          </w:p>
        </w:tc>
        <w:tc>
          <w:tcPr>
            <w:tcW w:w="369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97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5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0.0131</w:t>
            </w:r>
          </w:p>
        </w:tc>
        <w:tc>
          <w:tcPr>
            <w:tcW w:w="37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68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37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0.0131</w:t>
            </w:r>
          </w:p>
        </w:tc>
        <w:tc>
          <w:tcPr>
            <w:tcW w:w="32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11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303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+0.0131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2" w:hRule="atLeast"/>
          <w:jc w:val="center"/>
        </w:trPr>
        <w:tc>
          <w:tcPr>
            <w:tcW w:w="150" w:type="pct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37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color w:val="auto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18"/>
                <w:szCs w:val="18"/>
                <w:highlight w:val="none"/>
                <w:lang w:val="en-US" w:eastAsia="zh-CN"/>
              </w:rPr>
              <w:t>SO</w:t>
            </w:r>
            <w:r>
              <w:rPr>
                <w:rFonts w:hint="default" w:ascii="Times New Roman" w:hAnsi="Times New Roman" w:cs="Times New Roman"/>
                <w:b/>
                <w:color w:val="auto"/>
                <w:sz w:val="18"/>
                <w:szCs w:val="18"/>
                <w:highlight w:val="none"/>
                <w:vertAlign w:val="subscript"/>
                <w:lang w:val="en-US" w:eastAsia="zh-CN"/>
              </w:rPr>
              <w:t>2</w:t>
            </w:r>
          </w:p>
        </w:tc>
        <w:tc>
          <w:tcPr>
            <w:tcW w:w="25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427" w:type="pct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1.0</w:t>
            </w:r>
          </w:p>
        </w:tc>
        <w:tc>
          <w:tcPr>
            <w:tcW w:w="354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10</w:t>
            </w:r>
          </w:p>
        </w:tc>
        <w:tc>
          <w:tcPr>
            <w:tcW w:w="369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97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5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0.0036</w:t>
            </w:r>
          </w:p>
        </w:tc>
        <w:tc>
          <w:tcPr>
            <w:tcW w:w="37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0.99</w:t>
            </w:r>
          </w:p>
        </w:tc>
        <w:tc>
          <w:tcPr>
            <w:tcW w:w="368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37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0.0036</w:t>
            </w:r>
          </w:p>
        </w:tc>
        <w:tc>
          <w:tcPr>
            <w:tcW w:w="99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0.99</w:t>
            </w:r>
          </w:p>
        </w:tc>
        <w:tc>
          <w:tcPr>
            <w:tcW w:w="311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303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+0.0036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" w:hRule="atLeast"/>
          <w:jc w:val="center"/>
        </w:trPr>
        <w:tc>
          <w:tcPr>
            <w:tcW w:w="150" w:type="pct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37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jc w:val="center"/>
              <w:textAlignment w:val="auto"/>
              <w:rPr>
                <w:rFonts w:hint="default" w:ascii="Times New Roman" w:hAnsi="Times New Roman" w:cs="Times New Roman"/>
                <w:b/>
                <w:color w:val="auto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18"/>
                <w:szCs w:val="18"/>
                <w:highlight w:val="none"/>
                <w:lang w:val="en-US" w:eastAsia="zh-CN"/>
              </w:rPr>
              <w:t>NOx</w:t>
            </w:r>
          </w:p>
        </w:tc>
        <w:tc>
          <w:tcPr>
            <w:tcW w:w="25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427" w:type="pct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22.5</w:t>
            </w:r>
          </w:p>
        </w:tc>
        <w:tc>
          <w:tcPr>
            <w:tcW w:w="354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50</w:t>
            </w:r>
          </w:p>
        </w:tc>
        <w:tc>
          <w:tcPr>
            <w:tcW w:w="369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97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5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0.0779</w:t>
            </w:r>
          </w:p>
        </w:tc>
        <w:tc>
          <w:tcPr>
            <w:tcW w:w="37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0.208</w:t>
            </w:r>
          </w:p>
        </w:tc>
        <w:tc>
          <w:tcPr>
            <w:tcW w:w="368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37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0.0779</w:t>
            </w:r>
          </w:p>
        </w:tc>
        <w:tc>
          <w:tcPr>
            <w:tcW w:w="99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0.208</w:t>
            </w:r>
          </w:p>
        </w:tc>
        <w:tc>
          <w:tcPr>
            <w:tcW w:w="311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303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  <w:t>+0.0779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50" w:type="pct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37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18"/>
                <w:szCs w:val="18"/>
                <w:highlight w:val="none"/>
              </w:rPr>
              <w:t>工业固体废物</w:t>
            </w:r>
          </w:p>
        </w:tc>
        <w:tc>
          <w:tcPr>
            <w:tcW w:w="25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427" w:type="pct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354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369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397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35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37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368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37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32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311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303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9" w:hRule="atLeast"/>
          <w:jc w:val="center"/>
        </w:trPr>
        <w:tc>
          <w:tcPr>
            <w:tcW w:w="150" w:type="pct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65" w:type="pct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/>
                <w:color w:val="auto"/>
                <w:sz w:val="18"/>
                <w:szCs w:val="18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color w:val="auto"/>
                <w:sz w:val="18"/>
                <w:szCs w:val="18"/>
                <w:highlight w:val="none"/>
              </w:rPr>
              <w:t>特征污染物</w:t>
            </w:r>
          </w:p>
        </w:tc>
        <w:tc>
          <w:tcPr>
            <w:tcW w:w="37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color w:val="auto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color w:val="auto"/>
                <w:sz w:val="18"/>
                <w:szCs w:val="18"/>
                <w:highlight w:val="none"/>
                <w:lang w:eastAsia="zh-CN"/>
              </w:rPr>
              <w:t>非甲烷总烃</w:t>
            </w:r>
          </w:p>
        </w:tc>
        <w:tc>
          <w:tcPr>
            <w:tcW w:w="25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427" w:type="pct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54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69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97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35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7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368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37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2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311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303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9" w:hRule="atLeast"/>
          <w:jc w:val="center"/>
        </w:trPr>
        <w:tc>
          <w:tcPr>
            <w:tcW w:w="150" w:type="pct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65" w:type="pct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37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b/>
                <w:color w:val="auto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color w:val="auto"/>
                <w:sz w:val="18"/>
                <w:szCs w:val="18"/>
                <w:highlight w:val="none"/>
                <w:lang w:eastAsia="zh-CN"/>
              </w:rPr>
              <w:t>甲醛</w:t>
            </w:r>
          </w:p>
        </w:tc>
        <w:tc>
          <w:tcPr>
            <w:tcW w:w="25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427" w:type="pct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54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69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97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35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76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368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37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  <w:tc>
          <w:tcPr>
            <w:tcW w:w="32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311" w:type="pct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cs="Times New Roman"/>
                <w:b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303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32" w:beforeLines="10" w:beforeAutospacing="0" w:after="32" w:afterLines="10" w:afterAutospacing="0" w:line="240" w:lineRule="auto"/>
              <w:ind w:left="0" w:leftChars="0" w:right="0" w:righ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2" w:beforeLines="10"/>
        <w:textAlignment w:val="auto"/>
        <w:rPr>
          <w:rFonts w:hint="eastAsia"/>
          <w:sz w:val="11"/>
          <w:szCs w:val="15"/>
          <w:lang w:eastAsia="zh-CN"/>
        </w:rPr>
      </w:pPr>
      <w:r>
        <w:rPr>
          <w:b/>
          <w:sz w:val="15"/>
          <w:szCs w:val="15"/>
        </w:rPr>
        <w:t>注</w:t>
      </w:r>
      <w:r>
        <w:rPr>
          <w:sz w:val="15"/>
          <w:szCs w:val="15"/>
        </w:rPr>
        <w:t>：1、排放增减量：（+）表示增加，（-）表示减少</w:t>
      </w:r>
      <w:r>
        <w:rPr>
          <w:rFonts w:hint="eastAsia"/>
          <w:sz w:val="15"/>
          <w:szCs w:val="15"/>
        </w:rPr>
        <w:t>；2</w:t>
      </w:r>
      <w:r>
        <w:rPr>
          <w:sz w:val="15"/>
          <w:szCs w:val="15"/>
        </w:rPr>
        <w:t>、</w:t>
      </w:r>
      <w:r>
        <w:rPr>
          <w:rFonts w:hint="eastAsia"/>
          <w:sz w:val="15"/>
          <w:szCs w:val="15"/>
        </w:rPr>
        <w:t>(12)=(6)-(8)-(11)，（9）= (4)-(5)-(8)- (11) +（1）；3</w:t>
      </w:r>
      <w:r>
        <w:rPr>
          <w:sz w:val="15"/>
          <w:szCs w:val="15"/>
        </w:rPr>
        <w:t>、计量单位：废水排放量——万吨/年；废气排放量——万标立方米/年；工业固体废物排放量——万吨/年； 水污染物排放浓度——毫克/升</w:t>
      </w:r>
      <w:r>
        <w:rPr>
          <w:rFonts w:hint="eastAsia"/>
          <w:sz w:val="15"/>
          <w:szCs w:val="15"/>
        </w:rPr>
        <w:t>；</w:t>
      </w:r>
      <w:r>
        <w:rPr>
          <w:sz w:val="15"/>
          <w:szCs w:val="15"/>
        </w:rPr>
        <w:t>大气污染物排放浓度——毫克/立方米；水污染物排放量——吨/年；大气污染物排放量——吨/年</w:t>
      </w:r>
    </w:p>
    <w:sectPr>
      <w:pgSz w:w="16840" w:h="11907" w:orient="landscape"/>
      <w:pgMar w:top="850" w:right="850" w:bottom="680" w:left="850" w:header="567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decorative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AE4C70"/>
    <w:multiLevelType w:val="singleLevel"/>
    <w:tmpl w:val="30AE4C70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cwNWUwZmY1ZTBjZDQ4Zjk5YjBhMGFiZWQwOGVmYzMifQ=="/>
  </w:docVars>
  <w:rsids>
    <w:rsidRoot w:val="00000000"/>
    <w:rsid w:val="00437AB9"/>
    <w:rsid w:val="004A3A12"/>
    <w:rsid w:val="00E7231B"/>
    <w:rsid w:val="01F658E6"/>
    <w:rsid w:val="024456AE"/>
    <w:rsid w:val="02784B1E"/>
    <w:rsid w:val="02D03B03"/>
    <w:rsid w:val="02E63532"/>
    <w:rsid w:val="03557F2B"/>
    <w:rsid w:val="04A85F31"/>
    <w:rsid w:val="04CE24F8"/>
    <w:rsid w:val="0503137E"/>
    <w:rsid w:val="053E09D5"/>
    <w:rsid w:val="05674830"/>
    <w:rsid w:val="05C5778C"/>
    <w:rsid w:val="067656E4"/>
    <w:rsid w:val="07536276"/>
    <w:rsid w:val="078C4836"/>
    <w:rsid w:val="07AE5654"/>
    <w:rsid w:val="082A02AA"/>
    <w:rsid w:val="08311CBE"/>
    <w:rsid w:val="09D63F13"/>
    <w:rsid w:val="0A5849EC"/>
    <w:rsid w:val="0A8E36C8"/>
    <w:rsid w:val="0B3104C4"/>
    <w:rsid w:val="0B9D7C0A"/>
    <w:rsid w:val="0BBE0095"/>
    <w:rsid w:val="0BCE79AD"/>
    <w:rsid w:val="0C7F1BA5"/>
    <w:rsid w:val="0CF75FE2"/>
    <w:rsid w:val="0D4350B1"/>
    <w:rsid w:val="0D8A27C9"/>
    <w:rsid w:val="0E263CDD"/>
    <w:rsid w:val="0E750C44"/>
    <w:rsid w:val="0FD521C6"/>
    <w:rsid w:val="10356B89"/>
    <w:rsid w:val="10504F37"/>
    <w:rsid w:val="10EB3E09"/>
    <w:rsid w:val="12237D21"/>
    <w:rsid w:val="12BA71B0"/>
    <w:rsid w:val="13133522"/>
    <w:rsid w:val="133252D5"/>
    <w:rsid w:val="134968CF"/>
    <w:rsid w:val="135A182D"/>
    <w:rsid w:val="13B04281"/>
    <w:rsid w:val="13E16313"/>
    <w:rsid w:val="13F77F00"/>
    <w:rsid w:val="14345A34"/>
    <w:rsid w:val="14470C85"/>
    <w:rsid w:val="14857EDB"/>
    <w:rsid w:val="14BA1C85"/>
    <w:rsid w:val="16137B6C"/>
    <w:rsid w:val="16601B51"/>
    <w:rsid w:val="166B5F71"/>
    <w:rsid w:val="17216328"/>
    <w:rsid w:val="17B7635E"/>
    <w:rsid w:val="17CD078B"/>
    <w:rsid w:val="18C56A5B"/>
    <w:rsid w:val="19756550"/>
    <w:rsid w:val="1A6122DE"/>
    <w:rsid w:val="1D8A41DF"/>
    <w:rsid w:val="1DBA7B34"/>
    <w:rsid w:val="1E377260"/>
    <w:rsid w:val="1EAB0709"/>
    <w:rsid w:val="1EE66DBE"/>
    <w:rsid w:val="20CD5643"/>
    <w:rsid w:val="219238CC"/>
    <w:rsid w:val="2245269C"/>
    <w:rsid w:val="22DB4F8B"/>
    <w:rsid w:val="22DD5C8E"/>
    <w:rsid w:val="22F55F19"/>
    <w:rsid w:val="233B0F9F"/>
    <w:rsid w:val="240F0136"/>
    <w:rsid w:val="25207939"/>
    <w:rsid w:val="2526001C"/>
    <w:rsid w:val="25E77BE8"/>
    <w:rsid w:val="26777FFE"/>
    <w:rsid w:val="26BF15DE"/>
    <w:rsid w:val="27BC63BE"/>
    <w:rsid w:val="27F7054E"/>
    <w:rsid w:val="280F06D1"/>
    <w:rsid w:val="287C7332"/>
    <w:rsid w:val="288F0880"/>
    <w:rsid w:val="29735D90"/>
    <w:rsid w:val="29A72376"/>
    <w:rsid w:val="2AE90FAD"/>
    <w:rsid w:val="2BFA09B4"/>
    <w:rsid w:val="2CE1246A"/>
    <w:rsid w:val="2CF765A7"/>
    <w:rsid w:val="2D042103"/>
    <w:rsid w:val="2D54628F"/>
    <w:rsid w:val="2D855F3C"/>
    <w:rsid w:val="2E74470B"/>
    <w:rsid w:val="2EA27164"/>
    <w:rsid w:val="2FD6687A"/>
    <w:rsid w:val="300B586A"/>
    <w:rsid w:val="30825AF4"/>
    <w:rsid w:val="315C20B5"/>
    <w:rsid w:val="31EB5716"/>
    <w:rsid w:val="31FD5C2E"/>
    <w:rsid w:val="32812C4C"/>
    <w:rsid w:val="32E945B8"/>
    <w:rsid w:val="32F47355"/>
    <w:rsid w:val="334E79EB"/>
    <w:rsid w:val="33CA6012"/>
    <w:rsid w:val="347B2C27"/>
    <w:rsid w:val="34CB0536"/>
    <w:rsid w:val="35E50CCC"/>
    <w:rsid w:val="379B18CA"/>
    <w:rsid w:val="37FF4FDD"/>
    <w:rsid w:val="38423200"/>
    <w:rsid w:val="388D0C96"/>
    <w:rsid w:val="39744341"/>
    <w:rsid w:val="39D773E0"/>
    <w:rsid w:val="39F108DB"/>
    <w:rsid w:val="3A384C4B"/>
    <w:rsid w:val="3A4412A8"/>
    <w:rsid w:val="3B0E2FB6"/>
    <w:rsid w:val="3B670212"/>
    <w:rsid w:val="3BAE5D9B"/>
    <w:rsid w:val="3BD05867"/>
    <w:rsid w:val="3BDC187E"/>
    <w:rsid w:val="3C5460F3"/>
    <w:rsid w:val="3D9F4B0C"/>
    <w:rsid w:val="3E3E2BD2"/>
    <w:rsid w:val="3E456DFF"/>
    <w:rsid w:val="3E4F6F5C"/>
    <w:rsid w:val="3EA838A0"/>
    <w:rsid w:val="3F2D67DB"/>
    <w:rsid w:val="3F4600B2"/>
    <w:rsid w:val="3F5D3A37"/>
    <w:rsid w:val="3FD8052B"/>
    <w:rsid w:val="40372945"/>
    <w:rsid w:val="40CD3BA1"/>
    <w:rsid w:val="41192239"/>
    <w:rsid w:val="420727C7"/>
    <w:rsid w:val="42B91FA4"/>
    <w:rsid w:val="437552BB"/>
    <w:rsid w:val="43E278F8"/>
    <w:rsid w:val="44425756"/>
    <w:rsid w:val="44E4687B"/>
    <w:rsid w:val="44F504C3"/>
    <w:rsid w:val="45087033"/>
    <w:rsid w:val="456E6E45"/>
    <w:rsid w:val="457B0420"/>
    <w:rsid w:val="45E51D76"/>
    <w:rsid w:val="46BC2A65"/>
    <w:rsid w:val="46E74881"/>
    <w:rsid w:val="47422C86"/>
    <w:rsid w:val="47480A77"/>
    <w:rsid w:val="47C123C2"/>
    <w:rsid w:val="48070D0B"/>
    <w:rsid w:val="49DF71E4"/>
    <w:rsid w:val="4A290C9F"/>
    <w:rsid w:val="4A4A1C56"/>
    <w:rsid w:val="4B063FAA"/>
    <w:rsid w:val="4B3E4566"/>
    <w:rsid w:val="4BAD0E78"/>
    <w:rsid w:val="4DDF1E78"/>
    <w:rsid w:val="4E2336D9"/>
    <w:rsid w:val="4F0F25B6"/>
    <w:rsid w:val="4F74445E"/>
    <w:rsid w:val="4FBF71F2"/>
    <w:rsid w:val="50D4472B"/>
    <w:rsid w:val="51E973DB"/>
    <w:rsid w:val="530942A9"/>
    <w:rsid w:val="55192F6E"/>
    <w:rsid w:val="5534323F"/>
    <w:rsid w:val="55A560CD"/>
    <w:rsid w:val="560677FC"/>
    <w:rsid w:val="566E0A5C"/>
    <w:rsid w:val="566F7F92"/>
    <w:rsid w:val="573C3750"/>
    <w:rsid w:val="57D76043"/>
    <w:rsid w:val="58020653"/>
    <w:rsid w:val="58A40398"/>
    <w:rsid w:val="58C3123D"/>
    <w:rsid w:val="5A4643AE"/>
    <w:rsid w:val="5A721C51"/>
    <w:rsid w:val="5ABA7707"/>
    <w:rsid w:val="5AE701B8"/>
    <w:rsid w:val="5B931A5C"/>
    <w:rsid w:val="5B9C56B2"/>
    <w:rsid w:val="5BFA0CAF"/>
    <w:rsid w:val="5C0B0B13"/>
    <w:rsid w:val="5C0F3FA1"/>
    <w:rsid w:val="5D9E23C6"/>
    <w:rsid w:val="5E2F3332"/>
    <w:rsid w:val="602E5E5A"/>
    <w:rsid w:val="617E0B49"/>
    <w:rsid w:val="61BC0110"/>
    <w:rsid w:val="62074354"/>
    <w:rsid w:val="6209300B"/>
    <w:rsid w:val="62321767"/>
    <w:rsid w:val="62F029C6"/>
    <w:rsid w:val="62F74338"/>
    <w:rsid w:val="64132533"/>
    <w:rsid w:val="65AF25EA"/>
    <w:rsid w:val="66185405"/>
    <w:rsid w:val="66530AA0"/>
    <w:rsid w:val="67566ADA"/>
    <w:rsid w:val="67961B3A"/>
    <w:rsid w:val="69907EA5"/>
    <w:rsid w:val="6A4A07D1"/>
    <w:rsid w:val="6B344EBA"/>
    <w:rsid w:val="6B433904"/>
    <w:rsid w:val="6C20698E"/>
    <w:rsid w:val="6C873834"/>
    <w:rsid w:val="6EF0082C"/>
    <w:rsid w:val="6F155A1F"/>
    <w:rsid w:val="6F2A090D"/>
    <w:rsid w:val="6F2E2159"/>
    <w:rsid w:val="6FDC6641"/>
    <w:rsid w:val="709241FA"/>
    <w:rsid w:val="70992550"/>
    <w:rsid w:val="70AD1326"/>
    <w:rsid w:val="716C7D3E"/>
    <w:rsid w:val="71933188"/>
    <w:rsid w:val="720D5859"/>
    <w:rsid w:val="722C567C"/>
    <w:rsid w:val="72BF6F17"/>
    <w:rsid w:val="72E82878"/>
    <w:rsid w:val="73226E5F"/>
    <w:rsid w:val="732A167E"/>
    <w:rsid w:val="73550A2E"/>
    <w:rsid w:val="73A47923"/>
    <w:rsid w:val="741837C9"/>
    <w:rsid w:val="745D2E87"/>
    <w:rsid w:val="753817D5"/>
    <w:rsid w:val="77F70785"/>
    <w:rsid w:val="781A644B"/>
    <w:rsid w:val="79257DFE"/>
    <w:rsid w:val="79283BD2"/>
    <w:rsid w:val="7A883435"/>
    <w:rsid w:val="7ADD375E"/>
    <w:rsid w:val="7B683F24"/>
    <w:rsid w:val="7B6E6C5A"/>
    <w:rsid w:val="7BC41C68"/>
    <w:rsid w:val="7BD72512"/>
    <w:rsid w:val="7CAC5221"/>
    <w:rsid w:val="7CB916E9"/>
    <w:rsid w:val="7D297AEF"/>
    <w:rsid w:val="7E462FCD"/>
    <w:rsid w:val="7EA21BC1"/>
    <w:rsid w:val="7F0A5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after="330" w:afterLines="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3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报告正文"/>
    <w:basedOn w:val="1"/>
    <w:qFormat/>
    <w:uiPriority w:val="0"/>
    <w:pPr>
      <w:spacing w:line="480" w:lineRule="exact"/>
      <w:ind w:firstLine="200" w:firstLineChars="200"/>
    </w:pPr>
    <w:rPr>
      <w:color w:val="000000"/>
      <w:sz w:val="24"/>
      <w:lang w:val="en-US" w:eastAsia="zh-CN"/>
    </w:rPr>
  </w:style>
  <w:style w:type="paragraph" w:styleId="4">
    <w:name w:val="Normal Indent"/>
    <w:basedOn w:val="1"/>
    <w:next w:val="1"/>
    <w:qFormat/>
    <w:uiPriority w:val="0"/>
    <w:pPr>
      <w:ind w:firstLine="420"/>
    </w:pPr>
    <w:rPr>
      <w:szCs w:val="20"/>
    </w:rPr>
  </w:style>
  <w:style w:type="paragraph" w:styleId="5">
    <w:name w:val="Salutation"/>
    <w:basedOn w:val="1"/>
    <w:next w:val="1"/>
    <w:qFormat/>
    <w:uiPriority w:val="0"/>
  </w:style>
  <w:style w:type="paragraph" w:styleId="6">
    <w:name w:val="Body Text"/>
    <w:basedOn w:val="1"/>
    <w:qFormat/>
    <w:uiPriority w:val="0"/>
    <w:pPr>
      <w:spacing w:after="120" w:afterLines="0"/>
    </w:pPr>
    <w:rPr>
      <w:szCs w:val="20"/>
    </w:rPr>
  </w:style>
  <w:style w:type="paragraph" w:styleId="7">
    <w:name w:val="Body Text Indent"/>
    <w:basedOn w:val="1"/>
    <w:qFormat/>
    <w:uiPriority w:val="0"/>
    <w:pPr>
      <w:ind w:firstLine="480"/>
    </w:pPr>
    <w:rPr>
      <w:sz w:val="24"/>
      <w:szCs w:val="20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Body Text First Indent 2"/>
    <w:basedOn w:val="7"/>
    <w:next w:val="1"/>
    <w:qFormat/>
    <w:uiPriority w:val="0"/>
    <w:pPr>
      <w:spacing w:after="120"/>
      <w:ind w:left="420" w:leftChars="200" w:firstLine="420"/>
    </w:pPr>
    <w:rPr>
      <w:sz w:val="21"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4">
    <w:name w:val="List Paragraph"/>
    <w:basedOn w:val="1"/>
    <w:qFormat/>
    <w:uiPriority w:val="99"/>
    <w:pPr>
      <w:ind w:firstLine="420" w:firstLineChars="200"/>
    </w:pPr>
  </w:style>
  <w:style w:type="paragraph" w:customStyle="1" w:styleId="15">
    <w:name w:val="表头 样式"/>
    <w:basedOn w:val="1"/>
    <w:qFormat/>
    <w:uiPriority w:val="0"/>
    <w:pPr>
      <w:adjustRightInd w:val="0"/>
      <w:snapToGrid w:val="0"/>
      <w:spacing w:line="520" w:lineRule="exact"/>
      <w:jc w:val="center"/>
    </w:pPr>
    <w:rPr>
      <w:rFonts w:ascii="Times New Roman" w:hAnsi="Times New Roman" w:eastAsia="黑体"/>
      <w:bCs/>
      <w:color w:val="000000"/>
      <w:sz w:val="24"/>
      <w:szCs w:val="24"/>
    </w:rPr>
  </w:style>
  <w:style w:type="paragraph" w:customStyle="1" w:styleId="16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7">
    <w:name w:val="表格内文字"/>
    <w:basedOn w:val="1"/>
    <w:qFormat/>
    <w:uiPriority w:val="0"/>
    <w:pPr>
      <w:spacing w:line="360" w:lineRule="exact"/>
      <w:jc w:val="center"/>
    </w:pPr>
    <w:rPr>
      <w:szCs w:val="21"/>
    </w:rPr>
  </w:style>
  <w:style w:type="paragraph" w:customStyle="1" w:styleId="18">
    <w:name w:val="表内格式"/>
    <w:basedOn w:val="1"/>
    <w:next w:val="5"/>
    <w:qFormat/>
    <w:uiPriority w:val="0"/>
    <w:pPr>
      <w:keepLines/>
      <w:jc w:val="center"/>
    </w:pPr>
    <w:rPr>
      <w:rFonts w:hAnsi="宋体" w:eastAsia="宋体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35</Pages>
  <Words>1829</Words>
  <Characters>2140</Characters>
  <Lines>0</Lines>
  <Paragraphs>0</Paragraphs>
  <TotalTime>14</TotalTime>
  <ScaleCrop>false</ScaleCrop>
  <LinksUpToDate>false</LinksUpToDate>
  <CharactersWithSpaces>2266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2021-06-09T03:01:00Z</dcterms:created>
  <dc:creator>Administrator</dc:creator>
  <cp:lastModifiedBy>阿尔忒弥斯</cp:lastModifiedBy>
  <cp:lastPrinted>2023-01-03T02:40:33Z</cp:lastPrinted>
  <dcterms:modified xsi:type="dcterms:W3CDTF">2023-01-03T07:07:04Z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BAB5EC2F8300487AB9EF81FA9FEAB12B</vt:lpwstr>
  </property>
</Properties>
</file>