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附件一</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drawing>
          <wp:inline distT="0" distB="0" distL="114300" distR="114300">
            <wp:extent cx="4933950" cy="71247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933950" cy="7124700"/>
                    </a:xfrm>
                    <a:prstGeom prst="rect">
                      <a:avLst/>
                    </a:prstGeom>
                    <a:noFill/>
                    <a:ln>
                      <a:noFill/>
                    </a:ln>
                  </pic:spPr>
                </pic:pic>
              </a:graphicData>
            </a:graphic>
          </wp:inline>
        </w:drawing>
      </w:r>
    </w:p>
    <w:p>
      <w:pPr>
        <w:pStyle w:val="10"/>
        <w:ind w:left="0" w:leftChars="0" w:firstLine="0" w:firstLineChars="0"/>
        <w:jc w:val="center"/>
        <w:rPr>
          <w:rFonts w:hint="eastAsia"/>
          <w:lang w:eastAsia="zh-CN"/>
        </w:rPr>
      </w:pPr>
    </w:p>
    <w:p>
      <w:pPr>
        <w:jc w:val="center"/>
        <w:rPr>
          <w:rFonts w:hint="eastAsia"/>
          <w:lang w:eastAsia="zh-CN"/>
        </w:rPr>
      </w:pPr>
    </w:p>
    <w:p>
      <w:pPr>
        <w:pStyle w:val="10"/>
        <w:ind w:left="0" w:leftChars="0" w:firstLine="0" w:firstLineChars="0"/>
        <w:rPr>
          <w:rFonts w:hint="eastAsia"/>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center"/>
        <w:rPr>
          <w:rFonts w:hint="eastAsia" w:ascii="黑体" w:hAnsi="黑体" w:eastAsia="黑体" w:cs="黑体"/>
          <w:sz w:val="24"/>
          <w:szCs w:val="24"/>
          <w:lang w:eastAsia="zh-CN"/>
        </w:rPr>
      </w:pPr>
      <w:r>
        <w:drawing>
          <wp:inline distT="0" distB="0" distL="114300" distR="114300">
            <wp:extent cx="4895850" cy="728662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895850" cy="7286625"/>
                    </a:xfrm>
                    <a:prstGeom prst="rect">
                      <a:avLst/>
                    </a:prstGeom>
                    <a:noFill/>
                    <a:ln>
                      <a:noFill/>
                    </a:ln>
                  </pic:spPr>
                </pic:pic>
              </a:graphicData>
            </a:graphic>
          </wp:inline>
        </w:drawing>
      </w: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both"/>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r>
        <w:drawing>
          <wp:inline distT="0" distB="0" distL="114300" distR="114300">
            <wp:extent cx="4819650" cy="72771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819650" cy="7277100"/>
                    </a:xfrm>
                    <a:prstGeom prst="rect">
                      <a:avLst/>
                    </a:prstGeom>
                    <a:noFill/>
                    <a:ln>
                      <a:noFill/>
                    </a:ln>
                  </pic:spPr>
                </pic:pic>
              </a:graphicData>
            </a:graphic>
          </wp:inline>
        </w:drawing>
      </w: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黑体" w:hAnsi="黑体" w:eastAsia="黑体" w:cs="黑体"/>
          <w:sz w:val="24"/>
          <w:szCs w:val="24"/>
          <w:lang w:eastAsia="zh-CN"/>
        </w:rPr>
      </w:pPr>
    </w:p>
    <w:p>
      <w:pPr>
        <w:spacing w:line="360" w:lineRule="auto"/>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附件二</w:t>
      </w:r>
    </w:p>
    <w:p>
      <w:pPr>
        <w:pStyle w:val="4"/>
        <w:rPr>
          <w:rFonts w:hint="eastAsia" w:ascii="黑体" w:hAnsi="黑体" w:eastAsia="黑体" w:cs="黑体"/>
          <w:sz w:val="24"/>
          <w:szCs w:val="24"/>
          <w:lang w:eastAsia="zh-CN"/>
        </w:rPr>
      </w:pPr>
    </w:p>
    <w:p>
      <w:pPr>
        <w:jc w:val="center"/>
        <w:rPr>
          <w:rFonts w:hint="eastAsia" w:ascii="黑体" w:hAnsi="黑体" w:eastAsia="黑体" w:cs="黑体"/>
          <w:sz w:val="24"/>
          <w:szCs w:val="24"/>
          <w:lang w:eastAsia="zh-CN"/>
        </w:rPr>
      </w:pPr>
      <w:r>
        <w:drawing>
          <wp:inline distT="0" distB="0" distL="114300" distR="114300">
            <wp:extent cx="5269230" cy="7762875"/>
            <wp:effectExtent l="0" t="0" r="762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230" cy="7762875"/>
                    </a:xfrm>
                    <a:prstGeom prst="rect">
                      <a:avLst/>
                    </a:prstGeom>
                    <a:noFill/>
                    <a:ln>
                      <a:noFill/>
                    </a:ln>
                  </pic:spPr>
                </pic:pic>
              </a:graphicData>
            </a:graphic>
          </wp:inline>
        </w:drawing>
      </w:r>
    </w:p>
    <w:p>
      <w:pPr>
        <w:pStyle w:val="4"/>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附件三</w:t>
      </w:r>
    </w:p>
    <w:p>
      <w:pPr>
        <w:jc w:val="right"/>
        <w:rPr>
          <w:rFonts w:hint="eastAsia" w:ascii="黑体" w:hAnsi="黑体" w:eastAsia="黑体" w:cs="黑体"/>
          <w:sz w:val="24"/>
          <w:szCs w:val="24"/>
          <w:lang w:eastAsia="zh-CN"/>
        </w:rPr>
      </w:pPr>
    </w:p>
    <w:p>
      <w:pPr>
        <w:jc w:val="both"/>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267325" cy="7987030"/>
            <wp:effectExtent l="0" t="0" r="952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267325" cy="7987030"/>
                    </a:xfrm>
                    <a:prstGeom prst="rect">
                      <a:avLst/>
                    </a:prstGeom>
                    <a:noFill/>
                    <a:ln>
                      <a:noFill/>
                    </a:ln>
                  </pic:spPr>
                </pic:pic>
              </a:graphicData>
            </a:graphic>
          </wp:inline>
        </w:drawing>
      </w:r>
    </w:p>
    <w:p>
      <w:pPr>
        <w:pStyle w:val="14"/>
        <w:numPr>
          <w:ilvl w:val="0"/>
          <w:numId w:val="0"/>
        </w:numPr>
        <w:adjustRightInd w:val="0"/>
        <w:snapToGrid w:val="0"/>
        <w:spacing w:before="156" w:beforeLines="50" w:line="360" w:lineRule="auto"/>
        <w:ind w:leftChars="200"/>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附件四</w:t>
      </w:r>
    </w:p>
    <w:p>
      <w:pPr>
        <w:pStyle w:val="14"/>
        <w:numPr>
          <w:ilvl w:val="0"/>
          <w:numId w:val="0"/>
        </w:numPr>
        <w:adjustRightInd w:val="0"/>
        <w:snapToGrid w:val="0"/>
        <w:spacing w:before="156" w:beforeLines="50" w:line="360" w:lineRule="auto"/>
        <w:ind w:leftChars="200"/>
        <w:jc w:val="center"/>
        <w:rPr>
          <w:rFonts w:hint="eastAsia" w:eastAsiaTheme="minorEastAsia"/>
          <w:lang w:eastAsia="zh-CN"/>
        </w:rPr>
      </w:pPr>
    </w:p>
    <w:p>
      <w:pPr>
        <w:pStyle w:val="14"/>
        <w:numPr>
          <w:ilvl w:val="0"/>
          <w:numId w:val="0"/>
        </w:numPr>
        <w:adjustRightInd w:val="0"/>
        <w:snapToGrid w:val="0"/>
        <w:spacing w:before="156" w:beforeLines="50" w:line="360" w:lineRule="auto"/>
        <w:ind w:leftChars="200"/>
        <w:jc w:val="cente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273040" cy="7465695"/>
            <wp:effectExtent l="0" t="0" r="3810" b="19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1"/>
                    <a:stretch>
                      <a:fillRect/>
                    </a:stretch>
                  </pic:blipFill>
                  <pic:spPr>
                    <a:xfrm>
                      <a:off x="0" y="0"/>
                      <a:ext cx="5273040" cy="7465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bCs/>
          <w:sz w:val="44"/>
          <w:szCs w:val="44"/>
          <w:lang w:eastAsia="zh-CN"/>
        </w:rPr>
      </w:pPr>
      <w:r>
        <w:rPr>
          <w:rFonts w:hint="eastAsia" w:ascii="宋体" w:hAnsi="宋体" w:eastAsia="宋体" w:cs="宋体"/>
          <w:sz w:val="24"/>
          <w:szCs w:val="24"/>
          <w:lang w:eastAsia="zh-CN"/>
        </w:rPr>
        <w:t>附件五</w:t>
      </w:r>
    </w:p>
    <w:p>
      <w:pPr>
        <w:adjustRightInd w:val="0"/>
        <w:snapToGrid w:val="0"/>
        <w:spacing w:line="500" w:lineRule="exact"/>
        <w:jc w:val="center"/>
        <w:rPr>
          <w:rFonts w:hint="eastAsia"/>
          <w:color w:val="000000"/>
        </w:rPr>
      </w:pPr>
      <w:r>
        <w:rPr>
          <w:rFonts w:hint="eastAsia" w:ascii="宋体" w:hAnsi="宋体"/>
          <w:b/>
          <w:bCs/>
          <w:sz w:val="44"/>
          <w:szCs w:val="44"/>
          <w:lang w:eastAsia="zh-CN"/>
        </w:rPr>
        <w:t>河南省长城特种润滑脂有限公司</w:t>
      </w:r>
      <w:r>
        <w:rPr>
          <w:rFonts w:hint="eastAsia" w:ascii="宋体" w:hAnsi="宋体"/>
          <w:b/>
          <w:bCs/>
          <w:sz w:val="44"/>
          <w:szCs w:val="44"/>
          <w:lang w:val="en-US" w:eastAsia="zh-CN"/>
        </w:rPr>
        <w:t>年产10000 吨润滑脂节能技术改造项目</w:t>
      </w:r>
      <w:r>
        <w:rPr>
          <w:rFonts w:hint="eastAsia" w:ascii="宋体" w:hAnsi="宋体"/>
          <w:b/>
          <w:bCs/>
          <w:sz w:val="44"/>
          <w:szCs w:val="44"/>
          <w:lang w:eastAsia="zh-CN"/>
        </w:rPr>
        <w:t>监测方案</w:t>
      </w:r>
    </w:p>
    <w:p>
      <w:pPr>
        <w:pStyle w:val="4"/>
        <w:spacing w:line="360" w:lineRule="auto"/>
        <w:ind w:firstLine="560" w:firstLineChars="200"/>
        <w:jc w:val="left"/>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项目位于濮阳县海通乡团堽村西南。项目周围主要敏感环境目标有项目北侧 8m、东侧 10m 的团堽村、 西北约 150m 处的铁炉村。</w:t>
      </w:r>
    </w:p>
    <w:p>
      <w:pPr>
        <w:pStyle w:val="4"/>
        <w:spacing w:line="360" w:lineRule="auto"/>
        <w:ind w:firstLine="562" w:firstLineChars="200"/>
        <w:jc w:val="left"/>
        <w:rPr>
          <w:rFonts w:hint="eastAsia"/>
          <w:b/>
        </w:rPr>
      </w:pPr>
      <w:r>
        <w:rPr>
          <w:rFonts w:hint="eastAsia" w:ascii="Times New Roman" w:hAnsi="Times New Roman"/>
          <w:b/>
          <w:sz w:val="28"/>
        </w:rPr>
        <w:t>1、大气环境监测</w:t>
      </w:r>
    </w:p>
    <w:p>
      <w:pPr>
        <w:pStyle w:val="4"/>
        <w:spacing w:line="360" w:lineRule="auto"/>
        <w:ind w:left="496" w:leftChars="236"/>
        <w:jc w:val="both"/>
        <w:rPr>
          <w:rFonts w:ascii="Times New Roman" w:hAnsi="Times New Roman"/>
          <w:sz w:val="24"/>
          <w:szCs w:val="24"/>
        </w:rPr>
      </w:pPr>
      <w:r>
        <w:rPr>
          <w:rFonts w:hint="eastAsia"/>
          <w:b/>
        </w:rPr>
        <w:t>无组织排放</w:t>
      </w:r>
    </w:p>
    <w:p>
      <w:pPr>
        <w:pStyle w:val="4"/>
        <w:spacing w:line="360" w:lineRule="auto"/>
        <w:ind w:left="496" w:leftChars="236"/>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监测内容</w:t>
      </w:r>
    </w:p>
    <w:p>
      <w:pPr>
        <w:pStyle w:val="4"/>
        <w:spacing w:line="360" w:lineRule="auto"/>
        <w:ind w:left="496" w:leftChars="236"/>
        <w:jc w:val="center"/>
        <w:rPr>
          <w:rFonts w:ascii="Times New Roman" w:hAnsi="Times New Roman"/>
          <w:sz w:val="24"/>
          <w:szCs w:val="32"/>
        </w:rPr>
      </w:pPr>
      <w:r>
        <w:rPr>
          <w:rFonts w:ascii="Times New Roman" w:hAnsi="Times New Roman"/>
          <w:sz w:val="24"/>
          <w:szCs w:val="32"/>
        </w:rPr>
        <w:t>表</w:t>
      </w:r>
      <w:r>
        <w:rPr>
          <w:rFonts w:hint="eastAsia" w:ascii="Times New Roman" w:hAnsi="Times New Roman"/>
          <w:sz w:val="24"/>
          <w:szCs w:val="32"/>
        </w:rPr>
        <w:t>1</w:t>
      </w:r>
      <w:r>
        <w:rPr>
          <w:rFonts w:ascii="Times New Roman" w:hAnsi="Times New Roman"/>
          <w:sz w:val="24"/>
          <w:szCs w:val="32"/>
        </w:rPr>
        <w:t>废气污染物无组织排放监测内容</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1198"/>
        <w:gridCol w:w="1376"/>
        <w:gridCol w:w="2281"/>
        <w:gridCol w:w="1181"/>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055"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645"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监测项目</w:t>
            </w:r>
          </w:p>
        </w:tc>
        <w:tc>
          <w:tcPr>
            <w:tcW w:w="741"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sz w:val="24"/>
                <w:szCs w:val="24"/>
                <w:lang w:val="en-GB" w:eastAsia="zh-CN"/>
              </w:rPr>
              <w:t>排放限值</w:t>
            </w:r>
          </w:p>
        </w:tc>
        <w:tc>
          <w:tcPr>
            <w:tcW w:w="1228"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sz w:val="24"/>
                <w:szCs w:val="24"/>
                <w:lang w:val="en-GB" w:eastAsia="zh-CN"/>
              </w:rPr>
              <w:t>执行标准</w:t>
            </w:r>
          </w:p>
        </w:tc>
        <w:tc>
          <w:tcPr>
            <w:tcW w:w="636"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监测方式</w:t>
            </w:r>
          </w:p>
        </w:tc>
        <w:tc>
          <w:tcPr>
            <w:tcW w:w="693"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055" w:type="pct"/>
            <w:vMerge w:val="restar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上风向设置1个参照</w:t>
            </w:r>
            <w:r>
              <w:rPr>
                <w:rFonts w:hint="default" w:ascii="Times New Roman" w:hAnsi="Times New Roman" w:eastAsia="宋体" w:cs="Times New Roman"/>
                <w:color w:val="auto"/>
                <w:lang w:eastAsia="zh-CN"/>
              </w:rPr>
              <w:t>点位，</w:t>
            </w:r>
          </w:p>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pPr>
            <w:r>
              <w:rPr>
                <w:rFonts w:hint="default" w:ascii="Times New Roman" w:hAnsi="Times New Roman" w:eastAsia="宋体" w:cs="Times New Roman"/>
                <w:color w:val="auto"/>
              </w:rPr>
              <w:t>下风向设置3个监测点位</w:t>
            </w: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sz w:val="24"/>
                <w:szCs w:val="24"/>
                <w:lang w:val="en-GB" w:eastAsia="zh-CN"/>
              </w:rPr>
              <w:t>非甲烷总烃</w:t>
            </w:r>
          </w:p>
        </w:tc>
        <w:tc>
          <w:tcPr>
            <w:tcW w:w="7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sz w:val="24"/>
                <w:szCs w:val="24"/>
                <w:lang w:val="en-US" w:eastAsia="zh-CN"/>
              </w:rPr>
              <w:t>2.0</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28"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 xml:space="preserve">《关于全省开展工业企业挥发性有机物专项治理工作中排放建议值的通知》（豫环攻坚 </w:t>
            </w:r>
          </w:p>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函〔2017〕162号）</w:t>
            </w:r>
          </w:p>
        </w:tc>
        <w:tc>
          <w:tcPr>
            <w:tcW w:w="636" w:type="pct"/>
            <w:vMerge w:val="restar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手工</w:t>
            </w:r>
          </w:p>
        </w:tc>
        <w:tc>
          <w:tcPr>
            <w:tcW w:w="693" w:type="pct"/>
            <w:vMerge w:val="restar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3次/天，连续2天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055"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pPr>
          </w:p>
        </w:tc>
        <w:tc>
          <w:tcPr>
            <w:tcW w:w="64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颗粒物</w:t>
            </w:r>
          </w:p>
        </w:tc>
        <w:tc>
          <w:tcPr>
            <w:tcW w:w="7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sz w:val="24"/>
                <w:szCs w:val="24"/>
                <w:lang w:val="en-US" w:eastAsia="zh-CN"/>
              </w:rPr>
              <w:t>1.0</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28"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《大气污染物综合排放标准》（GB16297-1996）表2二级标准</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93"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bl>
    <w:p>
      <w:pPr>
        <w:pStyle w:val="4"/>
        <w:spacing w:line="360" w:lineRule="auto"/>
        <w:ind w:firstLine="480" w:firstLineChars="200"/>
        <w:jc w:val="left"/>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大气取样与监测</w:t>
      </w:r>
    </w:p>
    <w:p>
      <w:pPr>
        <w:pStyle w:val="4"/>
        <w:spacing w:line="360" w:lineRule="auto"/>
        <w:ind w:firstLine="480" w:firstLineChars="200"/>
        <w:jc w:val="left"/>
        <w:rPr>
          <w:rFonts w:hint="eastAsia"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连续2天，每天采样3次，每次连续1h采样或者在1h内等时间间隔采样4次。</w:t>
      </w:r>
    </w:p>
    <w:p>
      <w:pPr>
        <w:pStyle w:val="4"/>
        <w:spacing w:line="360" w:lineRule="auto"/>
        <w:ind w:firstLine="480" w:firstLineChars="200"/>
        <w:jc w:val="left"/>
        <w:rPr>
          <w:rFonts w:hint="eastAsia"/>
          <w:color w:val="000000"/>
        </w:rPr>
      </w:pPr>
      <w:r>
        <w:rPr>
          <w:rFonts w:hint="eastAsia" w:ascii="Times New Roman" w:hAnsi="Times New Roman" w:eastAsia="宋体" w:cs="Times New Roman"/>
          <w:bCs/>
          <w:sz w:val="24"/>
          <w:szCs w:val="24"/>
          <w:lang w:val="en-US" w:eastAsia="zh-CN"/>
        </w:rPr>
        <w:t>气样采集及保存按《环境监测技术规范》进行。</w:t>
      </w:r>
    </w:p>
    <w:p>
      <w:pPr>
        <w:pStyle w:val="4"/>
        <w:spacing w:line="360" w:lineRule="auto"/>
        <w:ind w:left="496" w:leftChars="236"/>
        <w:rPr>
          <w:rFonts w:hint="eastAsia" w:ascii="Times New Roman" w:hAnsi="Times New Roman" w:eastAsia="宋体" w:cs="Times New Roman"/>
          <w:bCs/>
          <w:sz w:val="24"/>
          <w:szCs w:val="24"/>
          <w:lang w:val="en-US" w:eastAsia="zh-CN"/>
        </w:rPr>
      </w:pPr>
      <w:r>
        <w:rPr>
          <w:rFonts w:hint="eastAsia"/>
          <w:b/>
        </w:rPr>
        <w:t>有组织排放</w:t>
      </w:r>
    </w:p>
    <w:p>
      <w:pPr>
        <w:pStyle w:val="4"/>
        <w:numPr>
          <w:ilvl w:val="0"/>
          <w:numId w:val="1"/>
        </w:numPr>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监测内容 </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表2   </w:t>
      </w:r>
      <w:r>
        <w:rPr>
          <w:rFonts w:hint="default" w:ascii="Times New Roman" w:hAnsi="Times New Roman" w:eastAsia="宋体" w:cs="Times New Roman"/>
          <w:bCs/>
          <w:sz w:val="24"/>
          <w:szCs w:val="24"/>
          <w:lang w:val="en-US" w:eastAsia="zh-CN"/>
        </w:rPr>
        <w:t>废气污染物</w:t>
      </w:r>
      <w:r>
        <w:rPr>
          <w:rFonts w:hint="eastAsia" w:ascii="Times New Roman" w:hAnsi="Times New Roman" w:eastAsia="宋体" w:cs="Times New Roman"/>
          <w:bCs/>
          <w:sz w:val="24"/>
          <w:szCs w:val="24"/>
          <w:lang w:val="en-US" w:eastAsia="zh-CN"/>
        </w:rPr>
        <w:t>有</w:t>
      </w:r>
      <w:r>
        <w:rPr>
          <w:rFonts w:hint="default" w:ascii="Times New Roman" w:hAnsi="Times New Roman" w:eastAsia="宋体" w:cs="Times New Roman"/>
          <w:bCs/>
          <w:sz w:val="24"/>
          <w:szCs w:val="24"/>
          <w:lang w:val="en-US" w:eastAsia="zh-CN"/>
        </w:rPr>
        <w:t>组织排放监测内容</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1326"/>
        <w:gridCol w:w="1455"/>
        <w:gridCol w:w="2333"/>
        <w:gridCol w:w="118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39"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714"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监测项目</w:t>
            </w:r>
          </w:p>
        </w:tc>
        <w:tc>
          <w:tcPr>
            <w:tcW w:w="783"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sz w:val="24"/>
                <w:szCs w:val="24"/>
                <w:lang w:val="en-GB" w:eastAsia="zh-CN"/>
              </w:rPr>
              <w:t>排放限值</w:t>
            </w:r>
          </w:p>
        </w:tc>
        <w:tc>
          <w:tcPr>
            <w:tcW w:w="1256"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000000"/>
                <w:sz w:val="24"/>
                <w:szCs w:val="24"/>
                <w:lang w:val="en-GB" w:eastAsia="zh-CN"/>
              </w:rPr>
              <w:t>执行标准</w:t>
            </w:r>
          </w:p>
        </w:tc>
        <w:tc>
          <w:tcPr>
            <w:tcW w:w="636"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监测方式</w:t>
            </w:r>
          </w:p>
        </w:tc>
        <w:tc>
          <w:tcPr>
            <w:tcW w:w="669" w:type="pc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939"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pPr>
            <w:r>
              <w:rPr>
                <w:rFonts w:hint="eastAsia" w:ascii="Times New Roman" w:hAnsi="Times New Roman" w:cs="Times New Roman"/>
                <w:color w:val="auto"/>
                <w:sz w:val="24"/>
                <w:szCs w:val="24"/>
                <w:lang w:val="en-US" w:eastAsia="zh-CN"/>
              </w:rPr>
              <w:t>袋式除尘器1#进口</w:t>
            </w: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颗粒物</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sz w:val="24"/>
                <w:szCs w:val="24"/>
                <w:lang w:val="en-US" w:eastAsia="zh-CN"/>
              </w:rPr>
              <w:t>/</w:t>
            </w:r>
          </w:p>
        </w:tc>
        <w:tc>
          <w:tcPr>
            <w:tcW w:w="1256"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《大气污染物综合排放标准》（GB16297-1996）中表2二级标准</w:t>
            </w:r>
          </w:p>
        </w:tc>
        <w:tc>
          <w:tcPr>
            <w:tcW w:w="636" w:type="pct"/>
            <w:vMerge w:val="restar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手工</w:t>
            </w:r>
          </w:p>
        </w:tc>
        <w:tc>
          <w:tcPr>
            <w:tcW w:w="669" w:type="pct"/>
            <w:vMerge w:val="restart"/>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3次/</w:t>
            </w:r>
            <w:r>
              <w:rPr>
                <w:rFonts w:hint="eastAsia" w:ascii="Times New Roman" w:hAnsi="Times New Roman" w:eastAsia="宋体" w:cs="Times New Roman"/>
                <w:color w:val="auto"/>
                <w:lang w:eastAsia="zh-CN"/>
              </w:rPr>
              <w:t>周期</w:t>
            </w:r>
            <w:r>
              <w:rPr>
                <w:rFonts w:hint="default" w:ascii="Times New Roman" w:hAnsi="Times New Roman" w:eastAsia="宋体" w:cs="Times New Roman"/>
                <w:color w:val="auto"/>
              </w:rPr>
              <w:t>，连续2</w:t>
            </w:r>
            <w:r>
              <w:rPr>
                <w:rFonts w:hint="eastAsia" w:ascii="Times New Roman" w:hAnsi="Times New Roman" w:eastAsia="宋体" w:cs="Times New Roman"/>
                <w:color w:val="auto"/>
                <w:lang w:eastAsia="zh-CN"/>
              </w:rPr>
              <w:t>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939"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pPr>
            <w:r>
              <w:rPr>
                <w:rFonts w:hint="eastAsia" w:ascii="Times New Roman" w:hAnsi="Times New Roman" w:cs="Times New Roman"/>
                <w:color w:val="auto"/>
                <w:sz w:val="24"/>
                <w:szCs w:val="24"/>
                <w:lang w:val="en-US" w:eastAsia="zh-CN"/>
              </w:rPr>
              <w:t>袋式除尘器2#进口</w:t>
            </w: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颗粒物</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sz w:val="24"/>
                <w:szCs w:val="24"/>
                <w:lang w:val="en-US" w:eastAsia="zh-CN"/>
              </w:rPr>
              <w:t>/</w:t>
            </w:r>
          </w:p>
        </w:tc>
        <w:tc>
          <w:tcPr>
            <w:tcW w:w="1256"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《大气污染物综合排放标准》（GB16297-1996）中表2二级标准</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939"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pPr>
            <w:r>
              <w:rPr>
                <w:rFonts w:hint="eastAsia" w:ascii="Times New Roman" w:hAnsi="Times New Roman" w:cs="Times New Roman"/>
                <w:color w:val="auto"/>
                <w:sz w:val="24"/>
                <w:szCs w:val="24"/>
                <w:lang w:val="en-US" w:eastAsia="zh-CN"/>
              </w:rPr>
              <w:t>干式预处理+活性炭吸脱附+催化燃烧设备进口</w:t>
            </w: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非甲烷总烃</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w:t>
            </w:r>
          </w:p>
        </w:tc>
        <w:tc>
          <w:tcPr>
            <w:tcW w:w="1256"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《关于全省开展工业企业挥发性有机物专项治理工作中排放建议值的通知》（豫环攻坚函〔2017〕162号）</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939" w:type="pct"/>
            <w:vMerge w:val="restar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袋式除尘器+干式预处理+活性炭吸脱附+催化燃烧设备+15m排气筒排放口</w:t>
            </w:r>
          </w:p>
          <w:p>
            <w:pPr>
              <w:pStyle w:val="4"/>
              <w:keepNext w:val="0"/>
              <w:keepLines w:val="0"/>
              <w:pageBreakBefore w:val="0"/>
              <w:kinsoku/>
              <w:wordWrap/>
              <w:overflowPunct/>
              <w:topLinePunct w:val="0"/>
              <w:autoSpaceDE/>
              <w:autoSpaceDN/>
              <w:bidi w:val="0"/>
              <w:spacing w:before="157" w:beforeLines="50" w:after="157" w:afterLines="50" w:line="240" w:lineRule="auto"/>
              <w:ind w:firstLine="420" w:firstLineChars="0"/>
              <w:jc w:val="center"/>
              <w:textAlignment w:val="auto"/>
            </w:pP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非甲烷总烃</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100mg/m</w:t>
            </w:r>
            <w:r>
              <w:rPr>
                <w:rFonts w:hint="eastAsia" w:ascii="Times New Roman" w:hAnsi="Times New Roman"/>
                <w:sz w:val="24"/>
                <w:szCs w:val="24"/>
                <w:vertAlign w:val="superscript"/>
                <w:lang w:val="en-US" w:eastAsia="zh-CN"/>
              </w:rPr>
              <w:t>3</w:t>
            </w:r>
            <w:r>
              <w:rPr>
                <w:rFonts w:hint="eastAsia" w:ascii="Times New Roman" w:hAnsi="Times New Roman"/>
                <w:sz w:val="24"/>
                <w:szCs w:val="24"/>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去除效率 97%，最高允许排放速率10kg/h</w:t>
            </w:r>
          </w:p>
        </w:tc>
        <w:tc>
          <w:tcPr>
            <w:tcW w:w="1256"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《关于全省开展工业企业挥发性有机物专项治理工作中排放建议值的通知》（豫环攻坚函〔2017〕162号）</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939"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20" w:firstLineChars="0"/>
              <w:jc w:val="center"/>
              <w:textAlignment w:val="auto"/>
            </w:pP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颗粒物</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120</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56"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《大气污染物综合排放标准》（GB16297-1996）中表2二级标准</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39" w:type="pct"/>
            <w:vMerge w:val="restar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pPr>
            <w:r>
              <w:rPr>
                <w:rFonts w:hint="eastAsia" w:ascii="Times New Roman" w:hAnsi="Times New Roman" w:cs="Times New Roman"/>
                <w:color w:val="auto"/>
                <w:sz w:val="24"/>
                <w:szCs w:val="24"/>
                <w:lang w:val="en-US" w:eastAsia="zh-CN"/>
              </w:rPr>
              <w:t>2号锅炉房1.3t/h导热油炉低氮燃烧器+15m高排气筒排放口</w:t>
            </w: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颗粒物</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5</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56" w:type="pct"/>
            <w:vMerge w:val="restar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default" w:ascii="Times New Roman" w:hAnsi="Times New Roman" w:eastAsia="宋体" w:cs="Times New Roman"/>
                <w:color w:val="000000"/>
                <w:sz w:val="24"/>
                <w:szCs w:val="24"/>
                <w:lang w:val="en-GB" w:eastAsia="zh-CN"/>
              </w:rPr>
            </w:pPr>
            <w:r>
              <w:rPr>
                <w:rFonts w:hint="default" w:ascii="Times New Roman" w:hAnsi="Times New Roman" w:eastAsia="宋体" w:cs="Times New Roman"/>
                <w:color w:val="000000"/>
                <w:sz w:val="24"/>
                <w:szCs w:val="24"/>
                <w:lang w:val="en-GB" w:eastAsia="zh-CN"/>
              </w:rPr>
              <w:t>《锅炉大气污染物排放标准》（DB41/2089-2021）（燃气锅炉）</w:t>
            </w: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39"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20" w:firstLineChars="200"/>
              <w:jc w:val="center"/>
              <w:textAlignment w:val="auto"/>
            </w:pP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SO</w:t>
            </w:r>
            <w:r>
              <w:rPr>
                <w:rFonts w:hint="eastAsia" w:ascii="Times New Roman" w:hAnsi="Times New Roman" w:cs="Times New Roman"/>
                <w:sz w:val="24"/>
                <w:szCs w:val="24"/>
                <w:vertAlign w:val="subscript"/>
                <w:lang w:val="en-US" w:eastAsia="zh-CN"/>
              </w:rPr>
              <w:t>2</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10</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56"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80" w:firstLineChars="200"/>
              <w:jc w:val="center"/>
              <w:textAlignment w:val="auto"/>
              <w:rPr>
                <w:rFonts w:hint="default" w:ascii="Times New Roman" w:hAnsi="Times New Roman" w:eastAsia="宋体" w:cs="Times New Roman"/>
                <w:color w:val="000000"/>
                <w:sz w:val="24"/>
                <w:szCs w:val="24"/>
                <w:lang w:val="en-GB" w:eastAsia="zh-CN"/>
              </w:rPr>
            </w:pP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39"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20" w:firstLineChars="200"/>
              <w:jc w:val="center"/>
              <w:textAlignment w:val="auto"/>
            </w:pP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w:t>
            </w:r>
            <w:r>
              <w:rPr>
                <w:rFonts w:hint="eastAsia" w:ascii="Times New Roman" w:hAnsi="Times New Roman" w:cs="Times New Roman"/>
                <w:sz w:val="24"/>
                <w:szCs w:val="24"/>
                <w:vertAlign w:val="subscript"/>
                <w:lang w:val="en-US" w:eastAsia="zh-CN"/>
              </w:rPr>
              <w:t>x</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eastAsia" w:ascii="Times New Roman" w:hAnsi="Times New Roman"/>
                <w:sz w:val="24"/>
                <w:szCs w:val="24"/>
                <w:lang w:val="en-US" w:eastAsia="zh-CN"/>
              </w:rPr>
              <w:t>30</w:t>
            </w:r>
            <w:r>
              <w:rPr>
                <w:rFonts w:ascii="Times New Roman" w:hAnsi="Times New Roman" w:eastAsiaTheme="minorEastAsia"/>
                <w:sz w:val="24"/>
                <w:szCs w:val="24"/>
              </w:rPr>
              <w:t>m</w:t>
            </w:r>
            <w:r>
              <w:rPr>
                <w:rFonts w:ascii="Times New Roman" w:hAnsi="Times New Roman" w:eastAsiaTheme="minorEastAsia"/>
                <w:sz w:val="24"/>
                <w:szCs w:val="24"/>
                <w:lang w:val="en-GB"/>
              </w:rPr>
              <w:t>g/m</w:t>
            </w:r>
            <w:r>
              <w:rPr>
                <w:rFonts w:ascii="Times New Roman" w:hAnsi="Times New Roman" w:eastAsiaTheme="minorEastAsia"/>
                <w:sz w:val="24"/>
                <w:szCs w:val="24"/>
                <w:vertAlign w:val="superscript"/>
                <w:lang w:val="en-GB"/>
              </w:rPr>
              <w:t>3</w:t>
            </w:r>
          </w:p>
        </w:tc>
        <w:tc>
          <w:tcPr>
            <w:tcW w:w="1256"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80" w:firstLineChars="200"/>
              <w:jc w:val="center"/>
              <w:textAlignment w:val="auto"/>
              <w:rPr>
                <w:rFonts w:hint="default" w:ascii="Times New Roman" w:hAnsi="Times New Roman" w:eastAsia="宋体" w:cs="Times New Roman"/>
                <w:color w:val="000000"/>
                <w:sz w:val="24"/>
                <w:szCs w:val="24"/>
                <w:lang w:val="en-GB" w:eastAsia="zh-CN"/>
              </w:rPr>
            </w:pP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39"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20" w:firstLineChars="200"/>
              <w:jc w:val="center"/>
              <w:textAlignment w:val="auto"/>
            </w:pPr>
          </w:p>
        </w:tc>
        <w:tc>
          <w:tcPr>
            <w:tcW w:w="714" w:type="pct"/>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left="0" w:leftChars="0" w:firstLine="0" w:firstLineChars="0"/>
              <w:jc w:val="center"/>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烟气黑度</w:t>
            </w:r>
          </w:p>
        </w:tc>
        <w:tc>
          <w:tcPr>
            <w:tcW w:w="7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Times New Roman" w:hAnsi="Times New Roman"/>
                <w:sz w:val="24"/>
                <w:szCs w:val="24"/>
                <w:lang w:val="en-US" w:eastAsia="zh-CN"/>
              </w:rPr>
            </w:pPr>
            <w:r>
              <w:rPr>
                <w:rFonts w:hint="default" w:ascii="Times New Roman" w:hAnsi="Times New Roman" w:cs="Times New Roman"/>
                <w:sz w:val="24"/>
                <w:szCs w:val="24"/>
                <w:lang w:val="en-US" w:eastAsia="zh-CN"/>
              </w:rPr>
              <w:t>≤</w:t>
            </w:r>
            <w:r>
              <w:rPr>
                <w:rFonts w:hint="eastAsia" w:ascii="Times New Roman" w:hAnsi="Times New Roman"/>
                <w:sz w:val="24"/>
                <w:szCs w:val="24"/>
                <w:lang w:val="en-US" w:eastAsia="zh-CN"/>
              </w:rPr>
              <w:t>1</w:t>
            </w:r>
          </w:p>
        </w:tc>
        <w:tc>
          <w:tcPr>
            <w:tcW w:w="1256" w:type="pct"/>
            <w:vMerge w:val="continue"/>
            <w:tcBorders>
              <w:tl2br w:val="nil"/>
              <w:tr2bl w:val="nil"/>
            </w:tcBorders>
            <w:noWrap w:val="0"/>
            <w:vAlign w:val="center"/>
          </w:tcPr>
          <w:p>
            <w:pPr>
              <w:pStyle w:val="4"/>
              <w:keepNext w:val="0"/>
              <w:keepLines w:val="0"/>
              <w:pageBreakBefore w:val="0"/>
              <w:kinsoku/>
              <w:wordWrap/>
              <w:overflowPunct/>
              <w:topLinePunct w:val="0"/>
              <w:autoSpaceDE/>
              <w:autoSpaceDN/>
              <w:bidi w:val="0"/>
              <w:spacing w:before="157" w:beforeLines="50" w:after="157" w:afterLines="50" w:line="240" w:lineRule="auto"/>
              <w:ind w:firstLine="480" w:firstLineChars="200"/>
              <w:jc w:val="center"/>
              <w:textAlignment w:val="auto"/>
              <w:rPr>
                <w:rFonts w:hint="default" w:ascii="Times New Roman" w:hAnsi="Times New Roman" w:eastAsia="宋体" w:cs="Times New Roman"/>
                <w:color w:val="000000"/>
                <w:sz w:val="24"/>
                <w:szCs w:val="24"/>
                <w:lang w:val="en-GB" w:eastAsia="zh-CN"/>
              </w:rPr>
            </w:pPr>
          </w:p>
        </w:tc>
        <w:tc>
          <w:tcPr>
            <w:tcW w:w="636"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eastAsia" w:ascii="Times New Roman" w:hAnsi="Times New Roman" w:eastAsia="宋体" w:cs="Times New Roman"/>
                <w:color w:val="auto"/>
                <w:lang w:eastAsia="zh-CN"/>
              </w:rPr>
            </w:pPr>
          </w:p>
        </w:tc>
        <w:tc>
          <w:tcPr>
            <w:tcW w:w="669" w:type="pct"/>
            <w:vMerge w:val="continue"/>
            <w:tcBorders>
              <w:tl2br w:val="nil"/>
              <w:tr2bl w:val="nil"/>
            </w:tcBorders>
            <w:noWrap w:val="0"/>
            <w:vAlign w:val="center"/>
          </w:tcPr>
          <w:p>
            <w:pPr>
              <w:pStyle w:val="15"/>
              <w:keepNext w:val="0"/>
              <w:keepLines w:val="0"/>
              <w:pageBreakBefore w:val="0"/>
              <w:shd w:val="clear" w:color="auto" w:fill="auto"/>
              <w:kinsoku/>
              <w:wordWrap/>
              <w:overflowPunct/>
              <w:topLinePunct w:val="0"/>
              <w:autoSpaceDE/>
              <w:autoSpaceDN/>
              <w:bidi w:val="0"/>
              <w:adjustRightInd w:val="0"/>
              <w:snapToGrid w:val="0"/>
              <w:spacing w:before="157" w:beforeLines="50" w:after="157" w:afterLines="50" w:line="240" w:lineRule="auto"/>
              <w:textAlignment w:val="auto"/>
              <w:rPr>
                <w:rFonts w:hint="default" w:ascii="Times New Roman" w:hAnsi="Times New Roman" w:eastAsia="宋体" w:cs="Times New Roman"/>
                <w:color w:val="auto"/>
              </w:rPr>
            </w:pPr>
          </w:p>
        </w:tc>
      </w:tr>
    </w:tbl>
    <w:p>
      <w:pPr>
        <w:pStyle w:val="4"/>
        <w:spacing w:line="360" w:lineRule="auto"/>
        <w:ind w:left="0" w:leftChars="0"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（2）大气取样与监测</w:t>
      </w:r>
    </w:p>
    <w:p>
      <w:pPr>
        <w:pStyle w:val="4"/>
        <w:spacing w:line="360" w:lineRule="auto"/>
        <w:ind w:firstLine="480" w:firstLineChars="200"/>
        <w:jc w:val="left"/>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样品采集连续监测2天，每天监测三次。气样采集及保存按《环境监测技术规范》进行。</w:t>
      </w:r>
    </w:p>
    <w:p>
      <w:pPr>
        <w:pStyle w:val="4"/>
        <w:spacing w:line="360" w:lineRule="auto"/>
        <w:jc w:val="left"/>
        <w:rPr>
          <w:rFonts w:hint="default" w:ascii="Times New Roman" w:hAnsi="Times New Roman" w:eastAsia="宋体" w:cs="Times New Roman"/>
          <w:color w:val="000000"/>
          <w:sz w:val="24"/>
          <w:szCs w:val="24"/>
          <w:lang w:val="en-GB" w:eastAsia="zh-CN"/>
        </w:rPr>
      </w:pPr>
      <w:r>
        <w:rPr>
          <w:rFonts w:hint="eastAsia" w:ascii="Times New Roman" w:hAnsi="Times New Roman"/>
          <w:b/>
          <w:sz w:val="28"/>
          <w:lang w:val="en-US" w:eastAsia="zh-CN"/>
        </w:rPr>
        <w:t>2</w:t>
      </w:r>
      <w:r>
        <w:rPr>
          <w:rFonts w:ascii="Times New Roman" w:hAnsi="Times New Roman"/>
          <w:b/>
          <w:sz w:val="28"/>
        </w:rPr>
        <w:t>、声环境监测</w:t>
      </w:r>
      <w:r>
        <w:rPr>
          <w:rFonts w:hint="eastAsia" w:ascii="Times New Roman" w:hAnsi="Times New Roman" w:eastAsia="宋体" w:cs="Times New Roman"/>
          <w:color w:val="000000"/>
          <w:sz w:val="24"/>
          <w:szCs w:val="24"/>
          <w:lang w:val="en-US" w:eastAsia="zh-CN"/>
        </w:rPr>
        <w:t xml:space="preserve">    </w:t>
      </w:r>
    </w:p>
    <w:p>
      <w:pPr>
        <w:spacing w:line="480" w:lineRule="exact"/>
        <w:ind w:firstLine="482"/>
        <w:rPr>
          <w:rFonts w:hint="default" w:ascii="Times New Roman" w:hAnsi="Times New Roman" w:eastAsia="宋体" w:cs="Times New Roman"/>
          <w:sz w:val="24"/>
          <w:szCs w:val="32"/>
        </w:rPr>
      </w:pPr>
      <w:r>
        <w:rPr>
          <w:rFonts w:hint="default" w:ascii="Times New Roman" w:hAnsi="Times New Roman" w:eastAsia="宋体" w:cs="Times New Roman"/>
          <w:sz w:val="24"/>
          <w:szCs w:val="32"/>
        </w:rPr>
        <w:t>（1）监测点布设</w:t>
      </w:r>
    </w:p>
    <w:p>
      <w:pPr>
        <w:spacing w:line="480" w:lineRule="exact"/>
        <w:ind w:firstLine="482"/>
        <w:rPr>
          <w:rFonts w:hint="default" w:ascii="Times New Roman" w:hAnsi="Times New Roman" w:eastAsia="宋体" w:cs="Times New Roman"/>
          <w:sz w:val="24"/>
          <w:szCs w:val="32"/>
        </w:rPr>
      </w:pPr>
      <w:r>
        <w:rPr>
          <w:rFonts w:hint="default" w:ascii="Times New Roman" w:hAnsi="Times New Roman" w:eastAsia="宋体" w:cs="Times New Roman"/>
          <w:sz w:val="24"/>
          <w:szCs w:val="32"/>
        </w:rPr>
        <w:t>本次噪声监测共布设</w:t>
      </w:r>
      <w:r>
        <w:rPr>
          <w:rFonts w:hint="eastAsia" w:ascii="Times New Roman" w:hAnsi="Times New Roman" w:eastAsia="宋体" w:cs="Times New Roman"/>
          <w:sz w:val="24"/>
          <w:szCs w:val="32"/>
          <w:lang w:val="en-US" w:eastAsia="zh-CN"/>
        </w:rPr>
        <w:t>4</w:t>
      </w:r>
      <w:r>
        <w:rPr>
          <w:rFonts w:hint="default" w:ascii="Times New Roman" w:hAnsi="Times New Roman" w:eastAsia="宋体" w:cs="Times New Roman"/>
          <w:sz w:val="24"/>
          <w:szCs w:val="32"/>
        </w:rPr>
        <w:t>个监测点。</w:t>
      </w:r>
    </w:p>
    <w:p>
      <w:pPr>
        <w:spacing w:line="360" w:lineRule="auto"/>
        <w:jc w:val="center"/>
        <w:rPr>
          <w:rFonts w:hint="default" w:ascii="Times New Roman" w:hAnsi="Times New Roman" w:eastAsia="宋体" w:cs="Times New Roman"/>
          <w:sz w:val="24"/>
          <w:szCs w:val="32"/>
        </w:rPr>
      </w:pPr>
      <w:r>
        <w:rPr>
          <w:rFonts w:hint="default" w:ascii="Times New Roman" w:hAnsi="Times New Roman" w:eastAsia="宋体" w:cs="Times New Roman"/>
          <w:sz w:val="24"/>
          <w:szCs w:val="32"/>
        </w:rPr>
        <w:t>表</w:t>
      </w:r>
      <w:r>
        <w:rPr>
          <w:rFonts w:hint="eastAsia" w:ascii="Times New Roman" w:hAnsi="Times New Roman" w:eastAsia="宋体" w:cs="Times New Roman"/>
          <w:sz w:val="24"/>
          <w:szCs w:val="32"/>
          <w:lang w:val="en-US" w:eastAsia="zh-CN"/>
        </w:rPr>
        <w:t xml:space="preserve">3  </w:t>
      </w:r>
      <w:r>
        <w:rPr>
          <w:rFonts w:hint="default" w:ascii="Times New Roman" w:hAnsi="Times New Roman" w:eastAsia="宋体" w:cs="Times New Roman"/>
          <w:sz w:val="24"/>
          <w:szCs w:val="32"/>
        </w:rPr>
        <w:t>声环境监测布点一览表</w:t>
      </w:r>
    </w:p>
    <w:tbl>
      <w:tblPr>
        <w:tblStyle w:val="1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108" w:type="dxa"/>
          <w:bottom w:w="85" w:type="dxa"/>
          <w:right w:w="108" w:type="dxa"/>
        </w:tblCellMar>
      </w:tblPr>
      <w:tblGrid>
        <w:gridCol w:w="972"/>
        <w:gridCol w:w="934"/>
        <w:gridCol w:w="2051"/>
        <w:gridCol w:w="3156"/>
        <w:gridCol w:w="862"/>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487" w:hRule="atLeast"/>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监测点位</w:t>
            </w:r>
          </w:p>
        </w:tc>
        <w:tc>
          <w:tcPr>
            <w:tcW w:w="5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监测指标</w:t>
            </w:r>
          </w:p>
        </w:tc>
        <w:tc>
          <w:tcPr>
            <w:tcW w:w="11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hint="eastAsia" w:ascii="Times New Roman" w:hAnsi="Times New Roman" w:eastAsia="宋体" w:cs="Times New Roman"/>
                <w:color w:val="000000"/>
                <w:sz w:val="24"/>
                <w:szCs w:val="24"/>
                <w:lang w:eastAsia="zh-CN"/>
              </w:rPr>
              <w:t>排放</w:t>
            </w:r>
            <w:r>
              <w:rPr>
                <w:rFonts w:hint="default" w:ascii="Times New Roman" w:hAnsi="Times New Roman" w:eastAsia="宋体" w:cs="Times New Roman"/>
                <w:color w:val="000000"/>
                <w:sz w:val="24"/>
                <w:szCs w:val="24"/>
              </w:rPr>
              <w:t>限值</w:t>
            </w:r>
          </w:p>
        </w:tc>
        <w:tc>
          <w:tcPr>
            <w:tcW w:w="16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hint="default" w:ascii="Times New Roman" w:hAnsi="Times New Roman" w:eastAsia="宋体" w:cs="Times New Roman"/>
                <w:color w:val="000000"/>
                <w:sz w:val="24"/>
                <w:szCs w:val="24"/>
              </w:rPr>
              <w:t>执行标准</w:t>
            </w:r>
          </w:p>
        </w:tc>
        <w:tc>
          <w:tcPr>
            <w:tcW w:w="46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监测方式</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东厂界</w:t>
            </w:r>
          </w:p>
        </w:tc>
        <w:tc>
          <w:tcPr>
            <w:tcW w:w="5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等效连续A声级</w:t>
            </w:r>
          </w:p>
        </w:tc>
        <w:tc>
          <w:tcPr>
            <w:tcW w:w="110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昼间</w:t>
            </w:r>
            <w:r>
              <w:rPr>
                <w:rFonts w:hint="default" w:ascii="Times New Roman" w:hAnsi="Times New Roman" w:eastAsia="宋体" w:cs="Times New Roman"/>
                <w:color w:val="000000"/>
                <w:sz w:val="24"/>
                <w:szCs w:val="24"/>
                <w:lang w:val="en-GB"/>
              </w:rPr>
              <w:t>≤</w:t>
            </w:r>
            <w:r>
              <w:rPr>
                <w:rFonts w:hint="default" w:ascii="Times New Roman" w:hAnsi="Times New Roman" w:eastAsia="宋体" w:cs="Times New Roman"/>
                <w:color w:val="000000"/>
                <w:sz w:val="24"/>
                <w:szCs w:val="24"/>
                <w:lang w:val="en-US" w:eastAsia="zh-CN"/>
              </w:rPr>
              <w:t>6</w:t>
            </w:r>
            <w:r>
              <w:rPr>
                <w:rFonts w:hint="eastAsia"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lang w:val="en-US" w:eastAsia="zh-CN"/>
              </w:rPr>
              <w:t>dB（A）</w:t>
            </w:r>
          </w:p>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z w:val="21"/>
                <w:szCs w:val="21"/>
              </w:rPr>
            </w:pPr>
            <w:r>
              <w:rPr>
                <w:rFonts w:hint="default" w:ascii="Times New Roman" w:hAnsi="Times New Roman" w:eastAsia="宋体" w:cs="Times New Roman"/>
                <w:color w:val="000000"/>
                <w:sz w:val="24"/>
                <w:szCs w:val="24"/>
                <w:lang w:val="en-GB"/>
              </w:rPr>
              <w:t>夜间≤</w:t>
            </w:r>
            <w:r>
              <w:rPr>
                <w:rFonts w:hint="default" w:ascii="Times New Roman" w:hAnsi="Times New Roman" w:eastAsia="宋体" w:cs="Times New Roman"/>
                <w:color w:val="000000"/>
                <w:sz w:val="24"/>
                <w:szCs w:val="24"/>
                <w:lang w:val="en-US" w:eastAsia="zh-CN"/>
              </w:rPr>
              <w:t>5</w:t>
            </w:r>
            <w:r>
              <w:rPr>
                <w:rFonts w:hint="eastAsia" w:ascii="Times New Roman" w:hAnsi="Times New Roman" w:eastAsia="宋体" w:cs="Times New Roman"/>
                <w:color w:val="000000"/>
                <w:sz w:val="24"/>
                <w:szCs w:val="24"/>
                <w:lang w:val="en-US" w:eastAsia="zh-CN"/>
              </w:rPr>
              <w:t>0</w:t>
            </w:r>
            <w:r>
              <w:rPr>
                <w:rFonts w:hint="default" w:ascii="Times New Roman" w:hAnsi="Times New Roman" w:eastAsia="宋体" w:cs="Times New Roman"/>
                <w:color w:val="000000"/>
                <w:sz w:val="24"/>
                <w:szCs w:val="24"/>
                <w:lang w:val="en-US" w:eastAsia="zh-CN"/>
              </w:rPr>
              <w:t>dB（A）</w:t>
            </w:r>
          </w:p>
        </w:tc>
        <w:tc>
          <w:tcPr>
            <w:tcW w:w="169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hint="default" w:ascii="Times New Roman" w:hAnsi="Times New Roman" w:eastAsia="宋体" w:cs="Times New Roman"/>
                <w:color w:val="000000"/>
                <w:sz w:val="24"/>
                <w:szCs w:val="24"/>
                <w:lang w:val="zh-CN"/>
              </w:rPr>
              <w:t>《工业企业厂界环境噪声排放标准》</w:t>
            </w:r>
            <w:r>
              <w:rPr>
                <w:rFonts w:hint="default" w:ascii="Times New Roman" w:hAnsi="Times New Roman" w:eastAsia="宋体" w:cs="Times New Roman"/>
                <w:color w:val="000000"/>
                <w:sz w:val="24"/>
                <w:szCs w:val="24"/>
              </w:rPr>
              <w:t>（GB12348-2008）</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zh-CN"/>
              </w:rPr>
              <w:t>类标准</w:t>
            </w:r>
          </w:p>
        </w:tc>
        <w:tc>
          <w:tcPr>
            <w:tcW w:w="4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lang w:val="zh-CN"/>
              </w:rPr>
            </w:pPr>
            <w:r>
              <w:rPr>
                <w:rFonts w:hint="eastAsia" w:ascii="Times New Roman" w:hAnsi="Times New Roman" w:eastAsia="宋体" w:cs="Times New Roman"/>
                <w:color w:val="000000"/>
                <w:sz w:val="24"/>
                <w:szCs w:val="24"/>
                <w:lang w:val="zh-CN"/>
              </w:rPr>
              <w:t>手工</w:t>
            </w:r>
          </w:p>
        </w:tc>
        <w:tc>
          <w:tcPr>
            <w:tcW w:w="70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val="zh-CN"/>
              </w:rPr>
            </w:pPr>
            <w:r>
              <w:rPr>
                <w:rFonts w:hint="default" w:ascii="Times New Roman" w:hAnsi="Times New Roman" w:eastAsia="宋体" w:cs="Times New Roman"/>
                <w:sz w:val="24"/>
                <w:szCs w:val="32"/>
              </w:rPr>
              <w:t>连续监测2天，</w:t>
            </w:r>
            <w:r>
              <w:rPr>
                <w:rFonts w:hint="eastAsia" w:ascii="Times New Roman" w:hAnsi="Times New Roman" w:eastAsia="宋体" w:cs="Times New Roman"/>
                <w:sz w:val="24"/>
                <w:szCs w:val="32"/>
                <w:lang w:val="en-US" w:eastAsia="zh-CN"/>
              </w:rPr>
              <w:t>昼间</w:t>
            </w:r>
            <w:r>
              <w:rPr>
                <w:rFonts w:hint="default" w:ascii="Times New Roman" w:hAnsi="Times New Roman" w:eastAsia="宋体" w:cs="Times New Roman"/>
                <w:sz w:val="24"/>
                <w:szCs w:val="32"/>
              </w:rPr>
              <w:t>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西厂界</w:t>
            </w:r>
          </w:p>
        </w:tc>
        <w:tc>
          <w:tcPr>
            <w:tcW w:w="5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10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699"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46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7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42" w:hRule="atLeast"/>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北厂界</w:t>
            </w:r>
          </w:p>
        </w:tc>
        <w:tc>
          <w:tcPr>
            <w:tcW w:w="5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10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699"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46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7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217" w:hRule="atLeast"/>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南厂界</w:t>
            </w:r>
          </w:p>
        </w:tc>
        <w:tc>
          <w:tcPr>
            <w:tcW w:w="5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10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699"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46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7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34" w:hRule="atLeast"/>
          <w:jc w:val="center"/>
        </w:trPr>
        <w:tc>
          <w:tcPr>
            <w:tcW w:w="5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团堽村</w:t>
            </w:r>
          </w:p>
        </w:tc>
        <w:tc>
          <w:tcPr>
            <w:tcW w:w="5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11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昼间</w:t>
            </w:r>
            <w:r>
              <w:rPr>
                <w:rFonts w:hint="default" w:ascii="Times New Roman" w:hAnsi="Times New Roman" w:eastAsia="宋体" w:cs="Times New Roman"/>
                <w:color w:val="000000"/>
                <w:sz w:val="24"/>
                <w:szCs w:val="24"/>
                <w:lang w:val="en-GB"/>
              </w:rPr>
              <w:t>≤</w:t>
            </w:r>
            <w:r>
              <w:rPr>
                <w:rFonts w:hint="eastAsia" w:ascii="Times New Roman" w:hAnsi="Times New Roman" w:eastAsia="宋体" w:cs="Times New Roman"/>
                <w:color w:val="000000"/>
                <w:sz w:val="24"/>
                <w:szCs w:val="24"/>
                <w:lang w:val="en-US" w:eastAsia="zh-CN"/>
              </w:rPr>
              <w:t>55</w:t>
            </w:r>
            <w:r>
              <w:rPr>
                <w:rFonts w:hint="default" w:ascii="Times New Roman" w:hAnsi="Times New Roman" w:eastAsia="宋体" w:cs="Times New Roman"/>
                <w:color w:val="000000"/>
                <w:sz w:val="24"/>
                <w:szCs w:val="24"/>
                <w:lang w:val="en-US" w:eastAsia="zh-CN"/>
              </w:rPr>
              <w:t>dB（A）</w:t>
            </w:r>
          </w:p>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sz w:val="21"/>
                <w:szCs w:val="21"/>
              </w:rPr>
            </w:pPr>
            <w:r>
              <w:rPr>
                <w:rFonts w:hint="default" w:ascii="Times New Roman" w:hAnsi="Times New Roman" w:eastAsia="宋体" w:cs="Times New Roman"/>
                <w:color w:val="000000"/>
                <w:sz w:val="24"/>
                <w:szCs w:val="24"/>
                <w:lang w:val="en-GB"/>
              </w:rPr>
              <w:t>夜间≤</w:t>
            </w:r>
            <w:r>
              <w:rPr>
                <w:rFonts w:hint="eastAsia" w:ascii="Times New Roman" w:hAnsi="Times New Roman" w:eastAsia="宋体" w:cs="Times New Roman"/>
                <w:color w:val="000000"/>
                <w:sz w:val="24"/>
                <w:szCs w:val="24"/>
                <w:lang w:val="en-US" w:eastAsia="zh-CN"/>
              </w:rPr>
              <w:t>45</w:t>
            </w:r>
            <w:r>
              <w:rPr>
                <w:rFonts w:hint="default" w:ascii="Times New Roman" w:hAnsi="Times New Roman" w:eastAsia="宋体" w:cs="Times New Roman"/>
                <w:color w:val="000000"/>
                <w:sz w:val="24"/>
                <w:szCs w:val="24"/>
                <w:lang w:val="en-US" w:eastAsia="zh-CN"/>
              </w:rPr>
              <w:t>dB（A）</w:t>
            </w:r>
          </w:p>
        </w:tc>
        <w:tc>
          <w:tcPr>
            <w:tcW w:w="16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《声环境质量标准》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GB 3096-2008</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 xml:space="preserve"> </w:t>
            </w:r>
            <w:r>
              <w:rPr>
                <w:rFonts w:hint="eastAsia" w:ascii="Times New Roman" w:hAnsi="Times New Roman" w:eastAsia="宋体" w:cs="Times New Roman"/>
                <w:color w:val="000000"/>
                <w:sz w:val="24"/>
                <w:szCs w:val="24"/>
                <w:lang w:val="en-US" w:eastAsia="zh-CN"/>
              </w:rPr>
              <w:t>类标准</w:t>
            </w:r>
          </w:p>
        </w:tc>
        <w:tc>
          <w:tcPr>
            <w:tcW w:w="464"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c>
          <w:tcPr>
            <w:tcW w:w="703" w:type="pct"/>
            <w:vMerge w:val="continue"/>
            <w:noWrap w:val="0"/>
            <w:vAlign w:val="center"/>
          </w:tcPr>
          <w:p>
            <w:pPr>
              <w:pStyle w:val="4"/>
              <w:keepNext w:val="0"/>
              <w:keepLines w:val="0"/>
              <w:pageBreakBefore w:val="0"/>
              <w:widowControl w:val="0"/>
              <w:tabs>
                <w:tab w:val="left" w:pos="7560"/>
              </w:tabs>
              <w:kinsoku/>
              <w:wordWrap/>
              <w:overflowPunct/>
              <w:topLinePunct w:val="0"/>
              <w:autoSpaceDE/>
              <w:autoSpaceDN/>
              <w:bidi w:val="0"/>
              <w:adjustRightInd/>
              <w:snapToGrid/>
              <w:spacing w:line="240" w:lineRule="auto"/>
              <w:jc w:val="center"/>
              <w:textAlignment w:val="auto"/>
              <w:rPr>
                <w:rFonts w:ascii="Times New Roman" w:hAnsi="Times New Roman"/>
                <w:sz w:val="21"/>
                <w:szCs w:val="21"/>
              </w:rPr>
            </w:pPr>
          </w:p>
        </w:tc>
      </w:tr>
    </w:tbl>
    <w:p>
      <w:pPr>
        <w:spacing w:line="480" w:lineRule="exact"/>
        <w:ind w:firstLine="482"/>
        <w:rPr>
          <w:rFonts w:hint="default" w:ascii="Times New Roman" w:hAnsi="Times New Roman" w:eastAsia="宋体" w:cs="Times New Roman"/>
          <w:sz w:val="24"/>
          <w:szCs w:val="32"/>
        </w:rPr>
      </w:pPr>
      <w:r>
        <w:rPr>
          <w:rFonts w:ascii="Times New Roman" w:hAnsi="Times New Roman"/>
        </w:rPr>
        <w:t xml:space="preserve">  </w:t>
      </w:r>
      <w:r>
        <w:rPr>
          <w:rFonts w:hint="default" w:ascii="Times New Roman" w:hAnsi="Times New Roman" w:eastAsia="宋体" w:cs="Times New Roman"/>
          <w:sz w:val="24"/>
          <w:szCs w:val="32"/>
        </w:rPr>
        <w:t>（2）监测方法及频率</w:t>
      </w:r>
    </w:p>
    <w:p>
      <w:pPr>
        <w:spacing w:line="480" w:lineRule="exact"/>
        <w:ind w:firstLine="482"/>
        <w:rPr>
          <w:rFonts w:hint="eastAsia" w:ascii="Times New Roman" w:hAnsi="Times New Roman" w:eastAsia="宋体" w:cs="Times New Roman"/>
          <w:sz w:val="24"/>
          <w:szCs w:val="32"/>
          <w:lang w:eastAsia="zh-CN"/>
        </w:rPr>
      </w:pPr>
      <w:r>
        <w:rPr>
          <w:rFonts w:hint="default" w:ascii="Times New Roman" w:hAnsi="Times New Roman" w:eastAsia="宋体" w:cs="Times New Roman"/>
          <w:sz w:val="24"/>
          <w:szCs w:val="32"/>
        </w:rPr>
        <w:t>连续监测2天，</w:t>
      </w:r>
      <w:r>
        <w:rPr>
          <w:rFonts w:hint="eastAsia" w:ascii="Times New Roman" w:hAnsi="Times New Roman" w:eastAsia="宋体" w:cs="Times New Roman"/>
          <w:sz w:val="24"/>
          <w:szCs w:val="32"/>
          <w:lang w:eastAsia="zh-CN"/>
        </w:rPr>
        <w:t>只</w:t>
      </w:r>
      <w:r>
        <w:rPr>
          <w:rFonts w:hint="eastAsia" w:ascii="Times New Roman" w:hAnsi="Times New Roman" w:eastAsia="宋体" w:cs="Times New Roman"/>
          <w:sz w:val="24"/>
          <w:szCs w:val="32"/>
          <w:lang w:val="en-US" w:eastAsia="zh-CN"/>
        </w:rPr>
        <w:t>昼间</w:t>
      </w:r>
      <w:r>
        <w:rPr>
          <w:rFonts w:hint="default" w:ascii="Times New Roman" w:hAnsi="Times New Roman" w:eastAsia="宋体" w:cs="Times New Roman"/>
          <w:sz w:val="24"/>
          <w:szCs w:val="32"/>
        </w:rPr>
        <w:t>监测一次。监测方法</w:t>
      </w:r>
      <w:r>
        <w:rPr>
          <w:rFonts w:hint="eastAsia" w:ascii="Times New Roman" w:hAnsi="Times New Roman" w:eastAsia="宋体" w:cs="Times New Roman"/>
          <w:sz w:val="24"/>
          <w:szCs w:val="32"/>
          <w:lang w:eastAsia="zh-CN"/>
        </w:rPr>
        <w:t>东、南、</w:t>
      </w:r>
      <w:r>
        <w:rPr>
          <w:rFonts w:hint="eastAsia" w:ascii="Times New Roman" w:hAnsi="Times New Roman" w:eastAsia="宋体" w:cs="Times New Roman"/>
          <w:sz w:val="24"/>
          <w:szCs w:val="32"/>
        </w:rPr>
        <w:t>西、</w:t>
      </w:r>
      <w:r>
        <w:rPr>
          <w:rFonts w:hint="eastAsia" w:ascii="Times New Roman" w:hAnsi="Times New Roman" w:eastAsia="宋体" w:cs="Times New Roman"/>
          <w:sz w:val="24"/>
          <w:szCs w:val="32"/>
          <w:lang w:eastAsia="zh-CN"/>
        </w:rPr>
        <w:t>北四</w:t>
      </w:r>
      <w:r>
        <w:rPr>
          <w:rFonts w:hint="default" w:ascii="Times New Roman" w:hAnsi="Times New Roman" w:eastAsia="宋体" w:cs="Times New Roman"/>
          <w:sz w:val="24"/>
          <w:szCs w:val="32"/>
        </w:rPr>
        <w:t>厂界噪声</w:t>
      </w:r>
      <w:r>
        <w:rPr>
          <w:rFonts w:hint="eastAsia" w:ascii="Times New Roman" w:hAnsi="Times New Roman" w:eastAsia="宋体" w:cs="Times New Roman"/>
          <w:sz w:val="24"/>
          <w:szCs w:val="32"/>
        </w:rPr>
        <w:t>按照</w:t>
      </w:r>
      <w:r>
        <w:rPr>
          <w:rFonts w:hint="default" w:ascii="Times New Roman" w:hAnsi="Times New Roman" w:eastAsia="宋体" w:cs="Times New Roman"/>
          <w:color w:val="000000"/>
          <w:sz w:val="24"/>
          <w:szCs w:val="24"/>
          <w:lang w:val="en-GB" w:eastAsia="zh-CN"/>
        </w:rPr>
        <w:t>《工业企业厂界环境噪声排放标准》（GB12348-2008）</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val="en-GB" w:eastAsia="zh-CN"/>
        </w:rPr>
        <w:t>类</w:t>
      </w:r>
      <w:r>
        <w:rPr>
          <w:rFonts w:hint="eastAsia" w:ascii="Times New Roman" w:hAnsi="Times New Roman" w:eastAsia="宋体" w:cs="Times New Roman"/>
          <w:color w:val="000000"/>
          <w:sz w:val="24"/>
          <w:szCs w:val="24"/>
          <w:lang w:val="en-GB" w:eastAsia="zh-CN"/>
        </w:rPr>
        <w:t>标准</w:t>
      </w:r>
      <w:r>
        <w:rPr>
          <w:rFonts w:hint="default" w:ascii="Times New Roman" w:hAnsi="Times New Roman" w:eastAsia="宋体" w:cs="Times New Roman"/>
          <w:sz w:val="24"/>
          <w:szCs w:val="32"/>
        </w:rPr>
        <w:t>要求</w:t>
      </w:r>
      <w:r>
        <w:rPr>
          <w:rFonts w:hint="eastAsia" w:ascii="Times New Roman" w:hAnsi="Times New Roman" w:eastAsia="宋体" w:cs="Times New Roman"/>
          <w:sz w:val="24"/>
          <w:szCs w:val="32"/>
          <w:lang w:eastAsia="zh-CN"/>
        </w:rPr>
        <w:t>；</w:t>
      </w:r>
      <w:r>
        <w:rPr>
          <w:rFonts w:hint="eastAsia" w:ascii="Times New Roman" w:hAnsi="Times New Roman" w:eastAsia="宋体" w:cs="Times New Roman"/>
          <w:color w:val="000000"/>
          <w:sz w:val="24"/>
          <w:szCs w:val="24"/>
          <w:lang w:eastAsia="zh-CN"/>
        </w:rPr>
        <w:t>团堽村</w:t>
      </w:r>
      <w:r>
        <w:rPr>
          <w:rFonts w:hint="default" w:ascii="Times New Roman" w:hAnsi="Times New Roman" w:eastAsia="宋体" w:cs="Times New Roman"/>
          <w:sz w:val="24"/>
          <w:szCs w:val="32"/>
        </w:rPr>
        <w:t>噪声</w:t>
      </w:r>
      <w:r>
        <w:rPr>
          <w:rFonts w:hint="eastAsia" w:ascii="Times New Roman" w:hAnsi="Times New Roman" w:eastAsia="宋体" w:cs="Times New Roman"/>
          <w:sz w:val="24"/>
          <w:szCs w:val="32"/>
        </w:rPr>
        <w:t>按照</w:t>
      </w:r>
      <w:r>
        <w:rPr>
          <w:rFonts w:hint="eastAsia" w:ascii="Times New Roman" w:hAnsi="Times New Roman" w:eastAsia="宋体" w:cs="Times New Roman"/>
          <w:sz w:val="24"/>
          <w:szCs w:val="32"/>
          <w:lang w:val="en-US" w:eastAsia="zh-CN"/>
        </w:rPr>
        <w:t>《声环境质量标准》（GB 3096-2008）1 类标准要求</w:t>
      </w:r>
      <w:r>
        <w:rPr>
          <w:rFonts w:hint="eastAsia" w:ascii="Times New Roman" w:hAnsi="Times New Roman" w:eastAsia="宋体" w:cs="Times New Roman"/>
          <w:sz w:val="24"/>
          <w:szCs w:val="32"/>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right"/>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right"/>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附件六</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right"/>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r>
        <w:drawing>
          <wp:inline distT="0" distB="0" distL="114300" distR="114300">
            <wp:extent cx="5667375" cy="8039100"/>
            <wp:effectExtent l="0" t="0" r="9525"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2"/>
                    <a:stretch>
                      <a:fillRect/>
                    </a:stretch>
                  </pic:blipFill>
                  <pic:spPr>
                    <a:xfrm>
                      <a:off x="0" y="0"/>
                      <a:ext cx="5667375" cy="803910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center"/>
        <w:textAlignment w:val="auto"/>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附件七</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right"/>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67375" cy="7991475"/>
            <wp:effectExtent l="0" t="0" r="9525" b="952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3"/>
                    <a:stretch>
                      <a:fillRect/>
                    </a:stretch>
                  </pic:blipFill>
                  <pic:spPr>
                    <a:xfrm>
                      <a:off x="0" y="0"/>
                      <a:ext cx="5667375" cy="799147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76900" cy="8001000"/>
            <wp:effectExtent l="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4"/>
                    <a:stretch>
                      <a:fillRect/>
                    </a:stretch>
                  </pic:blipFill>
                  <pic:spPr>
                    <a:xfrm>
                      <a:off x="0" y="0"/>
                      <a:ext cx="5676900" cy="800100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86425" cy="8020050"/>
            <wp:effectExtent l="0" t="0" r="9525" b="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5"/>
                    <a:stretch>
                      <a:fillRect/>
                    </a:stretch>
                  </pic:blipFill>
                  <pic:spPr>
                    <a:xfrm>
                      <a:off x="0" y="0"/>
                      <a:ext cx="5686425" cy="802005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67375" cy="7943850"/>
            <wp:effectExtent l="0" t="0" r="9525" b="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16"/>
                    <a:stretch>
                      <a:fillRect/>
                    </a:stretch>
                  </pic:blipFill>
                  <pic:spPr>
                    <a:xfrm>
                      <a:off x="0" y="0"/>
                      <a:ext cx="5667375" cy="794385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57850" cy="7972425"/>
            <wp:effectExtent l="0" t="0" r="0" b="952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17"/>
                    <a:stretch>
                      <a:fillRect/>
                    </a:stretch>
                  </pic:blipFill>
                  <pic:spPr>
                    <a:xfrm>
                      <a:off x="0" y="0"/>
                      <a:ext cx="5657850" cy="797242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57850" cy="7877175"/>
            <wp:effectExtent l="0" t="0" r="0" b="952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18"/>
                    <a:stretch>
                      <a:fillRect/>
                    </a:stretch>
                  </pic:blipFill>
                  <pic:spPr>
                    <a:xfrm>
                      <a:off x="0" y="0"/>
                      <a:ext cx="5657850" cy="787717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67375" cy="8029575"/>
            <wp:effectExtent l="0" t="0" r="9525" b="952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19"/>
                    <a:stretch>
                      <a:fillRect/>
                    </a:stretch>
                  </pic:blipFill>
                  <pic:spPr>
                    <a:xfrm>
                      <a:off x="0" y="0"/>
                      <a:ext cx="5667375" cy="802957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38800" cy="7972425"/>
            <wp:effectExtent l="0" t="0" r="0" b="952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0"/>
                    <a:stretch>
                      <a:fillRect/>
                    </a:stretch>
                  </pic:blipFill>
                  <pic:spPr>
                    <a:xfrm>
                      <a:off x="0" y="0"/>
                      <a:ext cx="5638800" cy="797242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29275" cy="8010525"/>
            <wp:effectExtent l="0" t="0" r="9525" b="952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21"/>
                    <a:stretch>
                      <a:fillRect/>
                    </a:stretch>
                  </pic:blipFill>
                  <pic:spPr>
                    <a:xfrm>
                      <a:off x="0" y="0"/>
                      <a:ext cx="5629275" cy="801052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57850" cy="7991475"/>
            <wp:effectExtent l="0" t="0" r="0" b="952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2"/>
                    <a:stretch>
                      <a:fillRect/>
                    </a:stretch>
                  </pic:blipFill>
                  <pic:spPr>
                    <a:xfrm>
                      <a:off x="0" y="0"/>
                      <a:ext cx="5657850" cy="7991475"/>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86425" cy="8020050"/>
            <wp:effectExtent l="0" t="0" r="9525" b="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23"/>
                    <a:stretch>
                      <a:fillRect/>
                    </a:stretch>
                  </pic:blipFill>
                  <pic:spPr>
                    <a:xfrm>
                      <a:off x="0" y="0"/>
                      <a:ext cx="5686425" cy="802005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pP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eastAsia" w:ascii="黑体" w:hAnsi="黑体" w:eastAsia="黑体" w:cs="黑体"/>
          <w:sz w:val="24"/>
          <w:szCs w:val="24"/>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667375" cy="8001000"/>
            <wp:effectExtent l="0" t="0" r="9525" b="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24"/>
                    <a:stretch>
                      <a:fillRect/>
                    </a:stretch>
                  </pic:blipFill>
                  <pic:spPr>
                    <a:xfrm>
                      <a:off x="0" y="0"/>
                      <a:ext cx="5667375" cy="8001000"/>
                    </a:xfrm>
                    <a:prstGeom prst="rect">
                      <a:avLst/>
                    </a:prstGeom>
                    <a:noFill/>
                    <a:ln>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附件八</w:t>
      </w:r>
    </w:p>
    <w:p>
      <w:pPr>
        <w:spacing w:line="360" w:lineRule="auto"/>
        <w:jc w:val="center"/>
        <w:rPr>
          <w:rFonts w:hint="eastAsia" w:ascii="Times New Roman" w:hAnsi="Times New Roman" w:eastAsia="宋体"/>
          <w:b/>
          <w:sz w:val="24"/>
          <w:szCs w:val="24"/>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drawing>
          <wp:inline distT="0" distB="0" distL="114300" distR="114300">
            <wp:extent cx="5273675" cy="7273925"/>
            <wp:effectExtent l="0" t="0" r="3175" b="317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5"/>
                    <a:stretch>
                      <a:fillRect/>
                    </a:stretch>
                  </pic:blipFill>
                  <pic:spPr>
                    <a:xfrm>
                      <a:off x="0" y="0"/>
                      <a:ext cx="5273675" cy="7273925"/>
                    </a:xfrm>
                    <a:prstGeom prst="rect">
                      <a:avLst/>
                    </a:prstGeom>
                    <a:noFill/>
                    <a:ln>
                      <a:noFill/>
                    </a:ln>
                  </pic:spPr>
                </pic:pic>
              </a:graphicData>
            </a:graphic>
          </wp:inline>
        </w:drawing>
      </w:r>
      <w:r>
        <w:rPr>
          <w:rFonts w:hint="eastAsia" w:ascii="黑体" w:hAnsi="黑体" w:eastAsia="黑体" w:cs="黑体"/>
          <w:sz w:val="24"/>
          <w:szCs w:val="24"/>
          <w:lang w:eastAsia="zh-CN"/>
        </w:rPr>
        <w:tab/>
      </w:r>
      <w:r>
        <w:rPr>
          <w:rFonts w:hint="eastAsia" w:ascii="Times New Roman" w:hAnsi="Times New Roman"/>
          <w:b/>
          <w:sz w:val="24"/>
          <w:szCs w:val="24"/>
          <w:lang w:val="en-US" w:eastAsia="zh-CN"/>
        </w:rPr>
        <w:t xml:space="preserve"> </w:t>
      </w:r>
    </w:p>
    <w:p>
      <w:pPr>
        <w:pStyle w:val="14"/>
        <w:spacing w:line="360" w:lineRule="auto"/>
        <w:ind w:firstLine="0" w:firstLineChars="0"/>
        <w:jc w:val="both"/>
      </w:pPr>
    </w:p>
    <w:p>
      <w:pPr>
        <w:pStyle w:val="14"/>
        <w:spacing w:line="360" w:lineRule="auto"/>
        <w:ind w:firstLine="0" w:firstLineChars="0"/>
        <w:jc w:val="center"/>
        <w:rPr>
          <w:rFonts w:hint="eastAsia" w:ascii="Times New Roman" w:hAnsi="Times New Roman"/>
          <w:b/>
          <w:bCs/>
          <w:sz w:val="24"/>
          <w:szCs w:val="24"/>
        </w:rPr>
      </w:pPr>
      <w:r>
        <w:drawing>
          <wp:inline distT="0" distB="0" distL="114300" distR="114300">
            <wp:extent cx="5667375" cy="7934325"/>
            <wp:effectExtent l="0" t="0" r="952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6"/>
                    <a:stretch>
                      <a:fillRect/>
                    </a:stretch>
                  </pic:blipFill>
                  <pic:spPr>
                    <a:xfrm>
                      <a:off x="0" y="0"/>
                      <a:ext cx="5667375" cy="7934325"/>
                    </a:xfrm>
                    <a:prstGeom prst="rect">
                      <a:avLst/>
                    </a:prstGeom>
                    <a:noFill/>
                    <a:ln>
                      <a:noFill/>
                    </a:ln>
                  </pic:spPr>
                </pic:pic>
              </a:graphicData>
            </a:graphic>
          </wp:inline>
        </w:drawing>
      </w:r>
    </w:p>
    <w:p>
      <w:pPr>
        <w:pStyle w:val="14"/>
        <w:spacing w:line="360" w:lineRule="auto"/>
        <w:ind w:firstLine="0" w:firstLineChars="0"/>
        <w:rPr>
          <w:rFonts w:ascii="Times New Roman" w:hAnsi="宋体"/>
          <w:b/>
          <w:sz w:val="24"/>
          <w:szCs w:val="24"/>
        </w:rPr>
      </w:pPr>
    </w:p>
    <w:p>
      <w:pPr>
        <w:tabs>
          <w:tab w:val="left" w:pos="510"/>
        </w:tabs>
        <w:spacing w:line="360" w:lineRule="auto"/>
        <w:jc w:val="left"/>
      </w:pPr>
    </w:p>
    <w:p>
      <w:pPr>
        <w:tabs>
          <w:tab w:val="left" w:pos="510"/>
        </w:tabs>
        <w:spacing w:line="360" w:lineRule="auto"/>
        <w:jc w:val="left"/>
        <w:rPr>
          <w:rFonts w:hint="eastAsia" w:ascii="宋体" w:hAnsi="宋体" w:eastAsia="宋体"/>
          <w:b/>
          <w:bCs/>
          <w:sz w:val="28"/>
          <w:szCs w:val="28"/>
          <w:lang w:eastAsia="zh-CN"/>
        </w:rPr>
      </w:pPr>
      <w:r>
        <w:drawing>
          <wp:inline distT="0" distB="0" distL="114300" distR="114300">
            <wp:extent cx="5657850" cy="8010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657850" cy="8010525"/>
                    </a:xfrm>
                    <a:prstGeom prst="rect">
                      <a:avLst/>
                    </a:prstGeom>
                    <a:noFill/>
                    <a:ln>
                      <a:noFill/>
                    </a:ln>
                  </pic:spPr>
                </pic:pic>
              </a:graphicData>
            </a:graphic>
          </wp:inline>
        </w:drawing>
      </w:r>
    </w:p>
    <w:p>
      <w:pPr>
        <w:pStyle w:val="14"/>
        <w:keepNext w:val="0"/>
        <w:keepLines w:val="0"/>
        <w:pageBreakBefore w:val="0"/>
        <w:widowControl w:val="0"/>
        <w:numPr>
          <w:ilvl w:val="0"/>
          <w:numId w:val="0"/>
        </w:numPr>
        <w:tabs>
          <w:tab w:val="left" w:pos="3750"/>
          <w:tab w:val="right" w:pos="9192"/>
        </w:tabs>
        <w:kinsoku/>
        <w:wordWrap/>
        <w:overflowPunct/>
        <w:topLinePunct w:val="0"/>
        <w:autoSpaceDE/>
        <w:autoSpaceDN/>
        <w:bidi w:val="0"/>
        <w:adjustRightInd w:val="0"/>
        <w:snapToGrid w:val="0"/>
        <w:spacing w:line="360" w:lineRule="auto"/>
        <w:jc w:val="left"/>
        <w:textAlignment w:val="auto"/>
      </w:pPr>
    </w:p>
    <w:p>
      <w:pPr>
        <w:pStyle w:val="14"/>
        <w:keepNext w:val="0"/>
        <w:keepLines w:val="0"/>
        <w:pageBreakBefore w:val="0"/>
        <w:widowControl w:val="0"/>
        <w:numPr>
          <w:ilvl w:val="0"/>
          <w:numId w:val="0"/>
        </w:numPr>
        <w:tabs>
          <w:tab w:val="left" w:pos="3750"/>
          <w:tab w:val="right" w:pos="9192"/>
        </w:tabs>
        <w:kinsoku/>
        <w:wordWrap/>
        <w:overflowPunct/>
        <w:topLinePunct w:val="0"/>
        <w:autoSpaceDE/>
        <w:autoSpaceDN/>
        <w:bidi w:val="0"/>
        <w:adjustRightInd w:val="0"/>
        <w:snapToGrid w:val="0"/>
        <w:spacing w:line="360" w:lineRule="auto"/>
        <w:jc w:val="left"/>
        <w:textAlignment w:val="auto"/>
      </w:pPr>
    </w:p>
    <w:p>
      <w:pPr>
        <w:pStyle w:val="14"/>
        <w:keepNext w:val="0"/>
        <w:keepLines w:val="0"/>
        <w:pageBreakBefore w:val="0"/>
        <w:widowControl w:val="0"/>
        <w:numPr>
          <w:ilvl w:val="0"/>
          <w:numId w:val="0"/>
        </w:numPr>
        <w:tabs>
          <w:tab w:val="left" w:pos="3750"/>
          <w:tab w:val="right" w:pos="9192"/>
        </w:tabs>
        <w:kinsoku/>
        <w:wordWrap/>
        <w:overflowPunct/>
        <w:topLinePunct w:val="0"/>
        <w:autoSpaceDE/>
        <w:autoSpaceDN/>
        <w:bidi w:val="0"/>
        <w:adjustRightInd w:val="0"/>
        <w:snapToGrid w:val="0"/>
        <w:spacing w:line="360" w:lineRule="auto"/>
        <w:jc w:val="left"/>
        <w:textAlignment w:val="auto"/>
      </w:pPr>
    </w:p>
    <w:p>
      <w:pPr>
        <w:pStyle w:val="14"/>
        <w:keepNext w:val="0"/>
        <w:keepLines w:val="0"/>
        <w:pageBreakBefore w:val="0"/>
        <w:widowControl w:val="0"/>
        <w:numPr>
          <w:ilvl w:val="0"/>
          <w:numId w:val="0"/>
        </w:numPr>
        <w:tabs>
          <w:tab w:val="left" w:pos="3750"/>
          <w:tab w:val="right" w:pos="9192"/>
        </w:tabs>
        <w:kinsoku/>
        <w:wordWrap/>
        <w:overflowPunct/>
        <w:topLinePunct w:val="0"/>
        <w:autoSpaceDE/>
        <w:autoSpaceDN/>
        <w:bidi w:val="0"/>
        <w:adjustRightInd w:val="0"/>
        <w:snapToGrid w:val="0"/>
        <w:spacing w:line="360" w:lineRule="auto"/>
        <w:jc w:val="left"/>
        <w:textAlignment w:val="auto"/>
        <w:rPr>
          <w:rFonts w:hint="eastAsia" w:ascii="黑体" w:hAnsi="黑体" w:eastAsia="黑体" w:cs="黑体"/>
          <w:sz w:val="24"/>
          <w:szCs w:val="24"/>
          <w:lang w:eastAsia="zh-CN"/>
        </w:rPr>
      </w:pPr>
      <w:r>
        <w:drawing>
          <wp:inline distT="0" distB="0" distL="114300" distR="114300">
            <wp:extent cx="5667375" cy="7991475"/>
            <wp:effectExtent l="0" t="0" r="9525" b="952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8"/>
                    <a:stretch>
                      <a:fillRect/>
                    </a:stretch>
                  </pic:blipFill>
                  <pic:spPr>
                    <a:xfrm>
                      <a:off x="0" y="0"/>
                      <a:ext cx="5667375" cy="7991475"/>
                    </a:xfrm>
                    <a:prstGeom prst="rect">
                      <a:avLst/>
                    </a:prstGeom>
                    <a:noFill/>
                    <a:ln>
                      <a:noFill/>
                    </a:ln>
                  </pic:spPr>
                </pic:pic>
              </a:graphicData>
            </a:graphic>
          </wp:inline>
        </w:drawing>
      </w:r>
      <w:r>
        <w:rPr>
          <w:rFonts w:hint="eastAsia" w:ascii="黑体" w:hAnsi="黑体" w:eastAsia="黑体" w:cs="黑体"/>
          <w:sz w:val="24"/>
          <w:szCs w:val="24"/>
          <w:lang w:eastAsia="zh-CN"/>
        </w:rPr>
        <w:tab/>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20" w:firstLineChars="200"/>
        <w:jc w:val="center"/>
        <w:textAlignment w:val="auto"/>
        <w:rPr>
          <w:rFonts w:hint="default"/>
          <w:lang w:eastAsia="zh-CN"/>
        </w:rPr>
        <w:sectPr>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b w:val="0"/>
          <w:bCs w:val="0"/>
          <w:lang w:val="en-US"/>
        </w:rPr>
      </w:pPr>
      <w:r>
        <w:rPr>
          <w:rFonts w:hint="eastAsia" w:ascii="宋体" w:hAnsi="宋体" w:eastAsia="宋体" w:cs="宋体"/>
          <w:b w:val="0"/>
          <w:bCs w:val="0"/>
          <w:sz w:val="24"/>
          <w:szCs w:val="24"/>
          <w:lang w:eastAsia="zh-CN"/>
        </w:rPr>
        <w:t>附件九</w:t>
      </w:r>
    </w:p>
    <w:p>
      <w:pPr>
        <w:ind w:firstLine="480"/>
        <w:jc w:val="center"/>
        <w:rPr>
          <w:b/>
          <w:bCs/>
          <w:color w:val="000000" w:themeColor="text1"/>
          <w:sz w:val="40"/>
          <w:szCs w:val="40"/>
          <w14:textFill>
            <w14:solidFill>
              <w14:schemeClr w14:val="tx1"/>
            </w14:solidFill>
          </w14:textFill>
        </w:rPr>
      </w:pPr>
      <w:r>
        <w:rPr>
          <w:rFonts w:hint="eastAsia"/>
          <w:b/>
          <w:bCs/>
          <w:color w:val="000000" w:themeColor="text1"/>
          <w:sz w:val="40"/>
          <w:szCs w:val="40"/>
          <w14:textFill>
            <w14:solidFill>
              <w14:schemeClr w14:val="tx1"/>
            </w14:solidFill>
          </w14:textFill>
        </w:rPr>
        <w:t>公众意见调查统计结果表</w:t>
      </w:r>
    </w:p>
    <w:tbl>
      <w:tblPr>
        <w:tblStyle w:val="11"/>
        <w:tblpPr w:leftFromText="180" w:rightFromText="180" w:vertAnchor="text" w:horzAnchor="page" w:tblpX="1522" w:tblpY="596"/>
        <w:tblOverlap w:val="never"/>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378"/>
        <w:gridCol w:w="2332"/>
        <w:gridCol w:w="2004"/>
        <w:gridCol w:w="1456"/>
        <w:gridCol w:w="1232"/>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restart"/>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个人概况</w:t>
            </w:r>
          </w:p>
        </w:tc>
        <w:tc>
          <w:tcPr>
            <w:tcW w:w="271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性别</w:t>
            </w:r>
          </w:p>
        </w:tc>
        <w:tc>
          <w:tcPr>
            <w:tcW w:w="346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男</w:t>
            </w:r>
          </w:p>
        </w:tc>
        <w:tc>
          <w:tcPr>
            <w:tcW w:w="2448"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选择项占百分比（%）</w:t>
            </w:r>
          </w:p>
        </w:tc>
        <w:tc>
          <w:tcPr>
            <w:tcW w:w="3460"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58</w:t>
            </w:r>
          </w:p>
        </w:tc>
        <w:tc>
          <w:tcPr>
            <w:tcW w:w="2448"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居住地区</w:t>
            </w:r>
          </w:p>
        </w:tc>
        <w:tc>
          <w:tcPr>
            <w:tcW w:w="5908" w:type="dxa"/>
            <w:gridSpan w:val="4"/>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厂区周边人群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职业</w:t>
            </w:r>
          </w:p>
        </w:tc>
        <w:tc>
          <w:tcPr>
            <w:tcW w:w="2004"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工人</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农民</w:t>
            </w:r>
          </w:p>
        </w:tc>
        <w:tc>
          <w:tcPr>
            <w:tcW w:w="1232"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干部</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选择项占百分比（%）</w:t>
            </w:r>
          </w:p>
        </w:tc>
        <w:tc>
          <w:tcPr>
            <w:tcW w:w="2004"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1456" w:type="dxa"/>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52</w:t>
            </w:r>
          </w:p>
        </w:tc>
        <w:tc>
          <w:tcPr>
            <w:tcW w:w="1232"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1216" w:type="dxa"/>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文化程度</w:t>
            </w:r>
          </w:p>
        </w:tc>
        <w:tc>
          <w:tcPr>
            <w:tcW w:w="2004"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专科以上</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高中及中专</w:t>
            </w:r>
          </w:p>
        </w:tc>
        <w:tc>
          <w:tcPr>
            <w:tcW w:w="1232"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初中以下</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2710"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pacing w:val="-6"/>
                <w:szCs w:val="21"/>
                <w14:textFill>
                  <w14:solidFill>
                    <w14:schemeClr w14:val="tx1"/>
                  </w14:solidFill>
                </w14:textFill>
              </w:rPr>
              <w:t>选择项人数/占百分比</w:t>
            </w:r>
          </w:p>
        </w:tc>
        <w:tc>
          <w:tcPr>
            <w:tcW w:w="2004" w:type="dxa"/>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w:t>
            </w:r>
          </w:p>
        </w:tc>
        <w:tc>
          <w:tcPr>
            <w:tcW w:w="1456" w:type="dxa"/>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w:t>
            </w:r>
          </w:p>
        </w:tc>
        <w:tc>
          <w:tcPr>
            <w:tcW w:w="1232" w:type="dxa"/>
            <w:vAlign w:val="center"/>
          </w:tcPr>
          <w:p>
            <w:pPr>
              <w:spacing w:line="36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50</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restart"/>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调查内容</w:t>
            </w:r>
          </w:p>
        </w:tc>
        <w:tc>
          <w:tcPr>
            <w:tcW w:w="378" w:type="dxa"/>
            <w:vMerge w:val="restart"/>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施工期</w:t>
            </w: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扬尘对您的影响程度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是否有扰民现象或纠纷</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w:t>
            </w:r>
          </w:p>
        </w:tc>
        <w:tc>
          <w:tcPr>
            <w:tcW w:w="1232"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32"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restart"/>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试生产期</w:t>
            </w: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废气对您的影响程度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固废废物储运及处理处置对您的影响程度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没有影响</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影响较轻</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影响较重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336" w:type="dxa"/>
            <w:gridSpan w:val="2"/>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714" w:type="dxa"/>
            <w:gridSpan w:val="3"/>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您对该公司本项目的环境保护工作满意程度？</w:t>
            </w:r>
          </w:p>
        </w:tc>
        <w:tc>
          <w:tcPr>
            <w:tcW w:w="145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满意</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较满意</w:t>
            </w: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dxa"/>
            <w:vMerge w:val="continue"/>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4714" w:type="dxa"/>
            <w:gridSpan w:val="3"/>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选择项占百分比（%）</w:t>
            </w:r>
          </w:p>
        </w:tc>
        <w:tc>
          <w:tcPr>
            <w:tcW w:w="1456" w:type="dxa"/>
            <w:vAlign w:val="center"/>
          </w:tcPr>
          <w:p>
            <w:pPr>
              <w:spacing w:line="36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232"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c>
          <w:tcPr>
            <w:tcW w:w="1216" w:type="dxa"/>
            <w:vAlign w:val="center"/>
          </w:tcPr>
          <w:p>
            <w:pPr>
              <w:spacing w:line="360" w:lineRule="exact"/>
              <w:jc w:val="center"/>
              <w:rPr>
                <w:rFonts w:hint="default" w:ascii="Times New Roman" w:hAnsi="Times New Roman" w:cs="Times New Roman"/>
                <w:color w:val="000000" w:themeColor="text1"/>
                <w:szCs w:val="21"/>
                <w14:textFill>
                  <w14:solidFill>
                    <w14:schemeClr w14:val="tx1"/>
                  </w14:solidFill>
                </w14:textFill>
              </w:rPr>
            </w:pPr>
          </w:p>
        </w:tc>
      </w:tr>
    </w:tbl>
    <w:p>
      <w:pPr>
        <w:pStyle w:val="3"/>
      </w:pPr>
    </w:p>
    <w:p>
      <w:pPr>
        <w:pStyle w:val="3"/>
      </w:pPr>
      <w:r>
        <w:drawing>
          <wp:inline distT="0" distB="0" distL="114300" distR="114300">
            <wp:extent cx="5269865" cy="7473950"/>
            <wp:effectExtent l="0" t="0" r="6985" b="1270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29"/>
                    <a:stretch>
                      <a:fillRect/>
                    </a:stretch>
                  </pic:blipFill>
                  <pic:spPr>
                    <a:xfrm>
                      <a:off x="0" y="0"/>
                      <a:ext cx="5269865" cy="7473950"/>
                    </a:xfrm>
                    <a:prstGeom prst="rect">
                      <a:avLst/>
                    </a:prstGeom>
                    <a:noFill/>
                    <a:ln>
                      <a:noFill/>
                    </a:ln>
                  </pic:spPr>
                </pic:pic>
              </a:graphicData>
            </a:graphic>
          </wp:inline>
        </w:drawing>
      </w:r>
    </w:p>
    <w:p/>
    <w:p/>
    <w:p/>
    <w:p>
      <w:r>
        <w:drawing>
          <wp:inline distT="0" distB="0" distL="114300" distR="114300">
            <wp:extent cx="5270500" cy="7458710"/>
            <wp:effectExtent l="0" t="0" r="6350" b="8890"/>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30"/>
                    <a:stretch>
                      <a:fillRect/>
                    </a:stretch>
                  </pic:blipFill>
                  <pic:spPr>
                    <a:xfrm>
                      <a:off x="0" y="0"/>
                      <a:ext cx="5270500" cy="7458710"/>
                    </a:xfrm>
                    <a:prstGeom prst="rect">
                      <a:avLst/>
                    </a:prstGeom>
                    <a:noFill/>
                    <a:ln>
                      <a:noFill/>
                    </a:ln>
                  </pic:spPr>
                </pic:pic>
              </a:graphicData>
            </a:graphic>
          </wp:inline>
        </w:drawing>
      </w:r>
    </w:p>
    <w:p/>
    <w:p/>
    <w:p/>
    <w:p/>
    <w:p/>
    <w:p/>
    <w:p/>
    <w:p>
      <w:r>
        <w:drawing>
          <wp:inline distT="0" distB="0" distL="114300" distR="114300">
            <wp:extent cx="5273675" cy="7450455"/>
            <wp:effectExtent l="0" t="0" r="3175" b="17145"/>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31"/>
                    <a:stretch>
                      <a:fillRect/>
                    </a:stretch>
                  </pic:blipFill>
                  <pic:spPr>
                    <a:xfrm>
                      <a:off x="0" y="0"/>
                      <a:ext cx="5273675" cy="74504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附件十</w:t>
      </w:r>
    </w:p>
    <w:p>
      <w:pPr>
        <w:pStyle w:val="3"/>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lang w:eastAsia="zh-CN"/>
        </w:rPr>
      </w:pPr>
    </w:p>
    <w:p>
      <w:pPr>
        <w:jc w:val="center"/>
        <w:rPr>
          <w:rFonts w:hint="eastAsia" w:ascii="黑体" w:hAnsi="黑体" w:eastAsia="黑体" w:cs="黑体"/>
          <w:b w:val="0"/>
          <w:bCs w:val="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273040" cy="7403465"/>
            <wp:effectExtent l="0" t="0" r="3810" b="6985"/>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32"/>
                    <a:stretch>
                      <a:fillRect/>
                    </a:stretch>
                  </pic:blipFill>
                  <pic:spPr>
                    <a:xfrm>
                      <a:off x="0" y="0"/>
                      <a:ext cx="5273040" cy="7403465"/>
                    </a:xfrm>
                    <a:prstGeom prst="rect">
                      <a:avLst/>
                    </a:prstGeom>
                    <a:noFill/>
                    <a:ln>
                      <a:noFill/>
                    </a:ln>
                  </pic:spPr>
                </pic:pic>
              </a:graphicData>
            </a:graphic>
          </wp:inline>
        </w:drawing>
      </w:r>
    </w:p>
    <w:p>
      <w:pPr>
        <w:pStyle w:val="3"/>
        <w:jc w:val="center"/>
      </w:pPr>
      <w:r>
        <w:drawing>
          <wp:inline distT="0" distB="0" distL="114300" distR="114300">
            <wp:extent cx="5619750" cy="7934325"/>
            <wp:effectExtent l="0" t="0" r="0" b="9525"/>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pic:cNvPicPr>
                      <a:picLocks noChangeAspect="1"/>
                    </pic:cNvPicPr>
                  </pic:nvPicPr>
                  <pic:blipFill>
                    <a:blip r:embed="rId33"/>
                    <a:stretch>
                      <a:fillRect/>
                    </a:stretch>
                  </pic:blipFill>
                  <pic:spPr>
                    <a:xfrm>
                      <a:off x="0" y="0"/>
                      <a:ext cx="5619750" cy="79343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val="0"/>
          <w:bCs w:val="0"/>
          <w:sz w:val="24"/>
          <w:szCs w:val="24"/>
          <w:lang w:val="en-US" w:eastAsia="zh-CN"/>
        </w:rPr>
      </w:pPr>
    </w:p>
    <w:p>
      <w:pPr>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val="0"/>
          <w:bCs w:val="0"/>
          <w:sz w:val="24"/>
          <w:szCs w:val="24"/>
          <w:lang w:val="en-US" w:eastAsia="zh-CN"/>
        </w:rPr>
      </w:pPr>
      <w:bookmarkStart w:id="0" w:name="_GoBack"/>
      <w:bookmarkEnd w:id="0"/>
      <w:r>
        <w:rPr>
          <w:rFonts w:hint="eastAsia" w:ascii="宋体" w:hAnsi="宋体" w:eastAsia="宋体" w:cs="宋体"/>
          <w:b w:val="0"/>
          <w:bCs w:val="0"/>
          <w:sz w:val="24"/>
          <w:szCs w:val="24"/>
          <w:lang w:val="en-US" w:eastAsia="zh-CN"/>
        </w:rPr>
        <w:t>附件十一</w:t>
      </w:r>
    </w:p>
    <w:p>
      <w:pPr>
        <w:pageBreakBefore w:val="0"/>
        <w:widowControl w:val="0"/>
        <w:kinsoku/>
        <w:wordWrap/>
        <w:overflowPunct/>
        <w:topLinePunct w:val="0"/>
        <w:autoSpaceDE/>
        <w:autoSpaceDN/>
        <w:bidi w:val="0"/>
        <w:adjustRightInd/>
        <w:snapToGrid/>
        <w:spacing w:line="360" w:lineRule="auto"/>
        <w:jc w:val="right"/>
        <w:textAlignment w:val="auto"/>
      </w:pPr>
      <w:r>
        <w:drawing>
          <wp:inline distT="0" distB="0" distL="114300" distR="114300">
            <wp:extent cx="5269865" cy="7473950"/>
            <wp:effectExtent l="0" t="0" r="6985"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4"/>
                    <a:stretch>
                      <a:fillRect/>
                    </a:stretch>
                  </pic:blipFill>
                  <pic:spPr>
                    <a:xfrm>
                      <a:off x="0" y="0"/>
                      <a:ext cx="5269865" cy="747395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right"/>
        <w:textAlignment w:val="auto"/>
      </w:pPr>
    </w:p>
    <w:p>
      <w:pPr>
        <w:pageBreakBefore w:val="0"/>
        <w:widowControl w:val="0"/>
        <w:kinsoku/>
        <w:wordWrap/>
        <w:overflowPunct/>
        <w:topLinePunct w:val="0"/>
        <w:autoSpaceDE/>
        <w:autoSpaceDN/>
        <w:bidi w:val="0"/>
        <w:adjustRightInd/>
        <w:snapToGrid/>
        <w:spacing w:line="360" w:lineRule="auto"/>
        <w:jc w:val="right"/>
        <w:textAlignment w:val="auto"/>
      </w:pPr>
    </w:p>
    <w:p>
      <w:pPr>
        <w:pageBreakBefore w:val="0"/>
        <w:widowControl w:val="0"/>
        <w:kinsoku/>
        <w:wordWrap/>
        <w:overflowPunct/>
        <w:topLinePunct w:val="0"/>
        <w:autoSpaceDE/>
        <w:autoSpaceDN/>
        <w:bidi w:val="0"/>
        <w:adjustRightInd/>
        <w:snapToGrid/>
        <w:spacing w:line="360" w:lineRule="auto"/>
        <w:jc w:val="both"/>
        <w:textAlignment w:val="auto"/>
      </w:pPr>
    </w:p>
    <w:p>
      <w:pPr>
        <w:pageBreakBefore w:val="0"/>
        <w:widowControl w:val="0"/>
        <w:kinsoku/>
        <w:wordWrap/>
        <w:overflowPunct/>
        <w:topLinePunct w:val="0"/>
        <w:autoSpaceDE/>
        <w:autoSpaceDN/>
        <w:bidi w:val="0"/>
        <w:adjustRightInd/>
        <w:snapToGrid/>
        <w:spacing w:line="360" w:lineRule="auto"/>
        <w:jc w:val="right"/>
        <w:textAlignment w:val="auto"/>
      </w:pPr>
    </w:p>
    <w:p>
      <w:pPr>
        <w:pageBreakBefore w:val="0"/>
        <w:widowControl w:val="0"/>
        <w:kinsoku/>
        <w:wordWrap/>
        <w:overflowPunct/>
        <w:topLinePunct w:val="0"/>
        <w:autoSpaceDE/>
        <w:autoSpaceDN/>
        <w:bidi w:val="0"/>
        <w:adjustRightInd/>
        <w:snapToGrid/>
        <w:spacing w:line="360" w:lineRule="auto"/>
        <w:jc w:val="both"/>
        <w:textAlignment w:val="auto"/>
        <w:rPr>
          <w:rFonts w:hint="eastAsia"/>
          <w:lang w:eastAsia="zh-CN"/>
        </w:rPr>
        <w:sectPr>
          <w:headerReference r:id="rId4" w:type="default"/>
          <w:pgSz w:w="11907" w:h="16840"/>
          <w:pgMar w:top="1440" w:right="1800" w:bottom="1440" w:left="1800" w:header="851" w:footer="992" w:gutter="0"/>
          <w:pgBorders>
            <w:top w:val="none" w:sz="0" w:space="0"/>
            <w:left w:val="none" w:sz="0" w:space="0"/>
            <w:bottom w:val="none" w:sz="0" w:space="0"/>
            <w:right w:val="none" w:sz="0" w:space="0"/>
          </w:pgBorders>
          <w:cols w:space="720" w:num="1"/>
          <w:docGrid w:type="lines" w:linePitch="319" w:charSpace="0"/>
        </w:sectPr>
      </w:pPr>
      <w:r>
        <w:drawing>
          <wp:inline distT="0" distB="0" distL="114300" distR="114300">
            <wp:extent cx="5270500" cy="7458710"/>
            <wp:effectExtent l="0" t="0" r="635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5"/>
                    <a:stretch>
                      <a:fillRect/>
                    </a:stretch>
                  </pic:blipFill>
                  <pic:spPr>
                    <a:xfrm>
                      <a:off x="0" y="0"/>
                      <a:ext cx="5270500" cy="7458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32"/>
          <w:lang w:eastAsia="zh-CN"/>
        </w:rPr>
      </w:pPr>
      <w:r>
        <w:rPr>
          <w:rFonts w:hint="eastAsia" w:ascii="宋体" w:hAnsi="宋体" w:eastAsia="宋体" w:cs="宋体"/>
          <w:sz w:val="24"/>
          <w:szCs w:val="32"/>
          <w:lang w:eastAsia="zh-CN"/>
        </w:rPr>
        <w:t>附件十二</w:t>
      </w:r>
    </w:p>
    <w:p>
      <w:pPr>
        <w:jc w:val="center"/>
        <w:rPr>
          <w:rFonts w:hint="eastAsia" w:ascii="黑体" w:eastAsia="黑体"/>
          <w:b/>
          <w:sz w:val="32"/>
          <w:szCs w:val="32"/>
        </w:rPr>
      </w:pPr>
      <w:r>
        <w:rPr>
          <w:rFonts w:hint="eastAsia" w:ascii="黑体" w:eastAsia="黑体"/>
          <w:b/>
          <w:sz w:val="28"/>
          <w:szCs w:val="28"/>
        </w:rPr>
        <w:t>建设项目工程竣工环境保护“三同时”验收登记表</w:t>
      </w:r>
    </w:p>
    <w:p>
      <w:pPr>
        <w:adjustRightInd w:val="0"/>
        <w:snapToGrid w:val="0"/>
        <w:rPr>
          <w:rFonts w:ascii="宋体" w:hAnsi="宋体"/>
          <w:sz w:val="18"/>
          <w:szCs w:val="18"/>
        </w:rPr>
      </w:pPr>
      <w:r>
        <w:rPr>
          <w:rFonts w:ascii="宋体" w:hAnsi="宋体"/>
          <w:sz w:val="18"/>
          <w:szCs w:val="18"/>
        </w:rPr>
        <w:t>填表单位（盖章）：</w:t>
      </w:r>
      <w:r>
        <w:rPr>
          <w:rFonts w:hint="eastAsia" w:ascii="宋体" w:hAnsi="宋体"/>
          <w:sz w:val="18"/>
          <w:szCs w:val="18"/>
          <w:lang w:eastAsia="zh-CN"/>
        </w:rPr>
        <w:t>河南省长城特种润滑脂有限公司</w:t>
      </w:r>
      <w:r>
        <w:rPr>
          <w:rFonts w:hint="eastAsia" w:ascii="宋体" w:hAnsi="宋体"/>
          <w:sz w:val="18"/>
          <w:szCs w:val="18"/>
          <w:lang w:val="en-US" w:eastAsia="zh-CN"/>
        </w:rPr>
        <w:t xml:space="preserve">                    </w:t>
      </w:r>
      <w:r>
        <w:rPr>
          <w:rFonts w:hint="eastAsia" w:ascii="宋体" w:hAnsi="宋体"/>
          <w:sz w:val="18"/>
          <w:szCs w:val="18"/>
        </w:rPr>
        <w:t xml:space="preserve">    </w:t>
      </w:r>
      <w:r>
        <w:rPr>
          <w:rFonts w:ascii="宋体" w:hAnsi="宋体"/>
          <w:sz w:val="18"/>
          <w:szCs w:val="18"/>
        </w:rPr>
        <w:t xml:space="preserve">填表人（签字）： </w:t>
      </w:r>
      <w:r>
        <w:rPr>
          <w:rFonts w:hint="eastAsia" w:ascii="宋体" w:hAnsi="宋体"/>
          <w:sz w:val="18"/>
          <w:szCs w:val="18"/>
        </w:rPr>
        <w:t xml:space="preserve">               </w:t>
      </w:r>
      <w:r>
        <w:rPr>
          <w:rFonts w:ascii="宋体" w:hAnsi="宋体"/>
          <w:sz w:val="18"/>
          <w:szCs w:val="18"/>
        </w:rPr>
        <w:t xml:space="preserve">                     项目经办人（签字）：</w:t>
      </w:r>
    </w:p>
    <w:tbl>
      <w:tblPr>
        <w:tblStyle w:val="11"/>
        <w:tblpPr w:leftFromText="180" w:rightFromText="180" w:vertAnchor="text" w:horzAnchor="page" w:tblpXSpec="center" w:tblpY="84"/>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13"/>
        <w:gridCol w:w="1145"/>
        <w:gridCol w:w="771"/>
        <w:gridCol w:w="89"/>
        <w:gridCol w:w="998"/>
        <w:gridCol w:w="227"/>
        <w:gridCol w:w="728"/>
        <w:gridCol w:w="359"/>
        <w:gridCol w:w="335"/>
        <w:gridCol w:w="799"/>
        <w:gridCol w:w="642"/>
        <w:gridCol w:w="581"/>
        <w:gridCol w:w="1094"/>
        <w:gridCol w:w="1155"/>
        <w:gridCol w:w="1133"/>
        <w:gridCol w:w="1137"/>
        <w:gridCol w:w="998"/>
        <w:gridCol w:w="768"/>
        <w:gridCol w:w="18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restart"/>
            <w:noWrap w:val="0"/>
            <w:textDirection w:val="tbRlV"/>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 设 项 目</w:t>
            </w: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项目名称</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年产10000吨润滑脂节能技术改造项目</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建设地点</w:t>
            </w:r>
          </w:p>
        </w:tc>
        <w:tc>
          <w:tcPr>
            <w:tcW w:w="2054" w:type="pct"/>
            <w:gridSpan w:val="7"/>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宋体" w:hAnsi="宋体" w:eastAsia="宋体"/>
                <w:color w:val="auto"/>
                <w:sz w:val="18"/>
                <w:szCs w:val="18"/>
                <w:lang w:eastAsia="zh-CN"/>
              </w:rPr>
              <w:t>濮阳市濮阳县海通乡团堽村西南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行业类别</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kern w:val="2"/>
                <w:sz w:val="18"/>
                <w:szCs w:val="18"/>
                <w:lang w:val="en-US" w:eastAsia="zh-CN" w:bidi="ar-SA"/>
              </w:rPr>
              <w:t>D4430 热力生产和供应</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建设性质</w:t>
            </w:r>
          </w:p>
        </w:tc>
        <w:tc>
          <w:tcPr>
            <w:tcW w:w="2054" w:type="pct"/>
            <w:gridSpan w:val="7"/>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新 建            </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改 扩 建             </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设计生产能力</w:t>
            </w:r>
          </w:p>
        </w:tc>
        <w:tc>
          <w:tcPr>
            <w:tcW w:w="67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年产10000吨润滑脂</w:t>
            </w:r>
          </w:p>
        </w:tc>
        <w:tc>
          <w:tcPr>
            <w:tcW w:w="354"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项目开工日期</w:t>
            </w:r>
          </w:p>
        </w:tc>
        <w:tc>
          <w:tcPr>
            <w:tcW w:w="577" w:type="pct"/>
            <w:gridSpan w:val="3"/>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color w:val="auto"/>
                <w:sz w:val="18"/>
                <w:szCs w:val="18"/>
                <w:highlight w:val="none"/>
                <w:shd w:val="clear" w:color="auto" w:fill="auto"/>
              </w:rPr>
              <w:t>20</w:t>
            </w:r>
            <w:r>
              <w:rPr>
                <w:rFonts w:hint="eastAsia" w:ascii="Times New Roman" w:hAnsi="Times New Roman" w:eastAsia="宋体" w:cs="Times New Roman"/>
                <w:color w:val="auto"/>
                <w:sz w:val="18"/>
                <w:szCs w:val="18"/>
                <w:highlight w:val="none"/>
                <w:shd w:val="clear" w:color="auto" w:fill="auto"/>
                <w:lang w:val="en-US" w:eastAsia="zh-CN"/>
              </w:rPr>
              <w:t>22</w:t>
            </w:r>
            <w:r>
              <w:rPr>
                <w:rFonts w:hint="default" w:ascii="Times New Roman" w:hAnsi="Times New Roman" w:eastAsia="宋体" w:cs="Times New Roman"/>
                <w:color w:val="auto"/>
                <w:sz w:val="18"/>
                <w:szCs w:val="18"/>
                <w:highlight w:val="none"/>
                <w:shd w:val="clear" w:color="auto" w:fill="auto"/>
              </w:rPr>
              <w:t>年</w:t>
            </w:r>
            <w:r>
              <w:rPr>
                <w:rFonts w:hint="eastAsia" w:ascii="Times New Roman" w:hAnsi="Times New Roman" w:eastAsia="宋体" w:cs="Times New Roman"/>
                <w:color w:val="auto"/>
                <w:sz w:val="18"/>
                <w:szCs w:val="18"/>
                <w:highlight w:val="none"/>
                <w:shd w:val="clear" w:color="auto" w:fill="auto"/>
                <w:lang w:val="en-US" w:eastAsia="zh-CN"/>
              </w:rPr>
              <w:t>8</w:t>
            </w:r>
            <w:r>
              <w:rPr>
                <w:rFonts w:hint="default" w:ascii="Times New Roman" w:hAnsi="Times New Roman" w:eastAsia="宋体" w:cs="Times New Roman"/>
                <w:color w:val="auto"/>
                <w:sz w:val="18"/>
                <w:szCs w:val="18"/>
                <w:highlight w:val="none"/>
                <w:shd w:val="clear" w:color="auto" w:fill="auto"/>
              </w:rPr>
              <w:t>月</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实际生产能力</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年产10000吨润滑脂</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试运行日期</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202</w:t>
            </w:r>
            <w:r>
              <w:rPr>
                <w:rFonts w:hint="eastAsia"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年</w:t>
            </w:r>
            <w:r>
              <w:rPr>
                <w:rFonts w:hint="eastAsia"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lang w:val="en-US" w:eastAsia="zh-CN"/>
              </w:rPr>
              <w:t>月</w:t>
            </w:r>
            <w:r>
              <w:rPr>
                <w:rFonts w:hint="eastAsia" w:ascii="Times New Roman" w:hAnsi="Times New Roman" w:eastAsia="宋体" w:cs="Times New Roman"/>
                <w:color w:val="auto"/>
                <w:sz w:val="18"/>
                <w:szCs w:val="18"/>
                <w:highlight w:val="none"/>
                <w:lang w:val="en-US" w:eastAsia="zh-CN"/>
              </w:rPr>
              <w:t>10日～2023年1月31日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投资总概算</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shd w:val="clear" w:color="auto" w:fill="auto"/>
                <w:lang w:val="en-US" w:eastAsia="zh-CN"/>
              </w:rPr>
              <w:t>200</w:t>
            </w:r>
            <w:r>
              <w:rPr>
                <w:rFonts w:hint="eastAsia" w:ascii="Times New Roman" w:hAnsi="Times New Roman" w:eastAsia="宋体" w:cs="Times New Roman"/>
                <w:color w:val="auto"/>
                <w:sz w:val="18"/>
                <w:szCs w:val="18"/>
                <w:highlight w:val="none"/>
                <w:shd w:val="clear" w:color="auto" w:fill="auto"/>
              </w:rPr>
              <w:t>万元</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环保投资总概算</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r>
              <w:rPr>
                <w:rFonts w:hint="eastAsia" w:ascii="Times New Roman" w:hAnsi="Times New Roman" w:eastAsia="宋体" w:cs="Times New Roman"/>
                <w:color w:val="auto"/>
                <w:sz w:val="18"/>
                <w:szCs w:val="18"/>
                <w:highlight w:val="none"/>
                <w:shd w:val="clear" w:color="auto" w:fill="auto"/>
                <w:lang w:val="en-US" w:eastAsia="zh-CN"/>
              </w:rPr>
              <w:t>120万元</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环评审批部门</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shd w:val="clear" w:color="auto" w:fill="auto"/>
                <w:lang w:val="en-US" w:eastAsia="zh-CN"/>
              </w:rPr>
              <w:t>濮阳市生态环境局濮阳县分局</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批准文号</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r>
              <w:rPr>
                <w:rFonts w:hint="eastAsia" w:ascii="Times New Roman" w:hAnsi="Times New Roman" w:eastAsia="宋体" w:cs="Times New Roman"/>
                <w:color w:val="auto"/>
                <w:sz w:val="18"/>
                <w:szCs w:val="18"/>
                <w:highlight w:val="none"/>
                <w:shd w:val="clear" w:color="auto" w:fill="auto"/>
                <w:lang w:val="en-US" w:eastAsia="zh-CN"/>
              </w:rPr>
              <w:t>濮县环审[2022]36号</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批准时间</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r>
              <w:rPr>
                <w:rFonts w:hint="eastAsia" w:ascii="Times New Roman" w:hAnsi="Times New Roman" w:eastAsia="宋体" w:cs="Times New Roman"/>
                <w:color w:val="auto"/>
                <w:sz w:val="18"/>
                <w:szCs w:val="18"/>
                <w:highlight w:val="none"/>
                <w:lang w:val="en-US" w:eastAsia="zh-CN"/>
              </w:rPr>
              <w:t>22</w:t>
            </w:r>
            <w:r>
              <w:rPr>
                <w:rFonts w:hint="default" w:ascii="Times New Roman" w:hAnsi="Times New Roman" w:eastAsia="宋体" w:cs="Times New Roman"/>
                <w:color w:val="auto"/>
                <w:sz w:val="18"/>
                <w:szCs w:val="18"/>
                <w:highlight w:val="none"/>
                <w:lang w:val="en-US" w:eastAsia="zh-CN"/>
              </w:rPr>
              <w:t>年</w:t>
            </w:r>
            <w:r>
              <w:rPr>
                <w:rFonts w:hint="eastAsia" w:ascii="Times New Roman" w:hAnsi="Times New Roman" w:eastAsia="宋体"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lang w:val="en-US" w:eastAsia="zh-CN"/>
              </w:rPr>
              <w:t>月</w:t>
            </w:r>
            <w:r>
              <w:rPr>
                <w:rFonts w:hint="eastAsia" w:ascii="Times New Roman" w:hAnsi="Times New Roman" w:eastAsia="宋体" w:cs="Times New Roman"/>
                <w:color w:val="auto"/>
                <w:sz w:val="18"/>
                <w:szCs w:val="18"/>
                <w:highlight w:val="none"/>
                <w:lang w:val="en-US" w:eastAsia="zh-CN"/>
              </w:rPr>
              <w:t>27</w:t>
            </w:r>
            <w:r>
              <w:rPr>
                <w:rFonts w:hint="default" w:ascii="Times New Roman" w:hAnsi="Times New Roman" w:eastAsia="宋体" w:cs="Times New Roman"/>
                <w:color w:val="auto"/>
                <w:sz w:val="18"/>
                <w:szCs w:val="18"/>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初步设计审批部门</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批准文号</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批准时间</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环保验收审批部门</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批准文号</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批准时间</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环保设施设计单位</w:t>
            </w:r>
          </w:p>
        </w:tc>
        <w:tc>
          <w:tcPr>
            <w:tcW w:w="67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32" w:type="pct"/>
            <w:gridSpan w:val="5"/>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环保设施施工单位</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环保设施监测单位</w:t>
            </w:r>
          </w:p>
        </w:tc>
        <w:tc>
          <w:tcPr>
            <w:tcW w:w="1309" w:type="pct"/>
            <w:gridSpan w:val="5"/>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top"/>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实际总投资</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200</w:t>
            </w:r>
            <w:r>
              <w:rPr>
                <w:rFonts w:hint="default" w:ascii="Times New Roman" w:hAnsi="Times New Roman" w:eastAsia="宋体" w:cs="Times New Roman"/>
                <w:color w:val="auto"/>
                <w:sz w:val="18"/>
                <w:szCs w:val="18"/>
                <w:highlight w:val="none"/>
              </w:rPr>
              <w:t>万元</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实际环保投资</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w:t>
            </w:r>
            <w:r>
              <w:rPr>
                <w:rFonts w:hint="default" w:ascii="Times New Roman" w:hAnsi="Times New Roman" w:eastAsia="宋体" w:cs="Times New Roman"/>
                <w:color w:val="auto"/>
                <w:sz w:val="18"/>
                <w:szCs w:val="18"/>
                <w:highlight w:val="none"/>
                <w:lang w:val="en-US" w:eastAsia="zh-CN"/>
              </w:rPr>
              <w:t>万元</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所占比例</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废水治理</w:t>
            </w:r>
          </w:p>
        </w:tc>
        <w:tc>
          <w:tcPr>
            <w:tcW w:w="280"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25"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废气治理</w:t>
            </w:r>
          </w:p>
        </w:tc>
        <w:tc>
          <w:tcPr>
            <w:tcW w:w="311"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90万元</w:t>
            </w:r>
          </w:p>
        </w:tc>
        <w:tc>
          <w:tcPr>
            <w:tcW w:w="226"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w:t>
            </w:r>
          </w:p>
        </w:tc>
        <w:tc>
          <w:tcPr>
            <w:tcW w:w="46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固废治理</w:t>
            </w:r>
          </w:p>
        </w:tc>
        <w:tc>
          <w:tcPr>
            <w:tcW w:w="376"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68"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绿化及生态</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7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其它</w:t>
            </w:r>
          </w:p>
        </w:tc>
        <w:tc>
          <w:tcPr>
            <w:tcW w:w="364"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新增废水处理能力</w:t>
            </w:r>
          </w:p>
        </w:tc>
        <w:tc>
          <w:tcPr>
            <w:tcW w:w="1611" w:type="pct"/>
            <w:gridSpan w:val="9"/>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新增废气处理能力</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年工作时</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FF0000"/>
                <w:sz w:val="18"/>
                <w:szCs w:val="18"/>
                <w:highlight w:val="none"/>
              </w:rPr>
            </w:pPr>
            <w:r>
              <w:rPr>
                <w:rFonts w:hint="eastAsia" w:ascii="Times New Roman" w:hAnsi="Times New Roman" w:eastAsia="宋体" w:cs="Times New Roman"/>
                <w:color w:val="auto"/>
                <w:sz w:val="18"/>
                <w:szCs w:val="18"/>
                <w:highlight w:val="none"/>
                <w:lang w:val="en-US" w:eastAsia="zh-CN"/>
              </w:rPr>
              <w:t>2400</w:t>
            </w:r>
            <w:r>
              <w:rPr>
                <w:rFonts w:hint="default" w:ascii="Times New Roman" w:hAnsi="Times New Roman" w:eastAsia="宋体" w:cs="Times New Roman"/>
                <w:color w:val="auto"/>
                <w:sz w:val="18"/>
                <w:szCs w:val="18"/>
                <w:highlight w:val="none"/>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788" w:type="pct"/>
            <w:gridSpan w:val="3"/>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建设单位</w:t>
            </w:r>
          </w:p>
        </w:tc>
        <w:tc>
          <w:tcPr>
            <w:tcW w:w="67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FF0000"/>
                <w:sz w:val="18"/>
                <w:szCs w:val="18"/>
                <w:highlight w:val="none"/>
                <w:lang w:eastAsia="zh-CN"/>
              </w:rPr>
            </w:pPr>
            <w:r>
              <w:rPr>
                <w:rFonts w:hint="eastAsia" w:ascii="宋体" w:hAnsi="宋体"/>
                <w:sz w:val="18"/>
                <w:szCs w:val="18"/>
                <w:lang w:eastAsia="zh-CN"/>
              </w:rPr>
              <w:t>河南省长城特种润滑脂有限公司</w:t>
            </w:r>
          </w:p>
        </w:tc>
        <w:tc>
          <w:tcPr>
            <w:tcW w:w="354"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邮政编码</w:t>
            </w:r>
          </w:p>
        </w:tc>
        <w:tc>
          <w:tcPr>
            <w:tcW w:w="577" w:type="pct"/>
            <w:gridSpan w:val="3"/>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45</w:t>
            </w:r>
            <w:r>
              <w:rPr>
                <w:rFonts w:hint="eastAsia" w:ascii="Times New Roman" w:hAnsi="Times New Roman" w:cs="Times New Roman"/>
                <w:color w:val="auto"/>
                <w:sz w:val="18"/>
                <w:szCs w:val="18"/>
                <w:highlight w:val="none"/>
                <w:lang w:val="en-US" w:eastAsia="zh-CN"/>
              </w:rPr>
              <w:t>7100</w:t>
            </w:r>
          </w:p>
        </w:tc>
        <w:tc>
          <w:tcPr>
            <w:tcW w:w="5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联系电话</w:t>
            </w:r>
          </w:p>
        </w:tc>
        <w:tc>
          <w:tcPr>
            <w:tcW w:w="745"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13938304328</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环评单位</w:t>
            </w:r>
          </w:p>
        </w:tc>
        <w:tc>
          <w:tcPr>
            <w:tcW w:w="939" w:type="pct"/>
            <w:gridSpan w:val="4"/>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河北诚羿环保工程有限公司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restar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sz w:val="18"/>
                <w:szCs w:val="18"/>
              </w:rPr>
            </w:pPr>
            <w:r>
              <w:rPr>
                <w:rFonts w:hint="default" w:ascii="Times New Roman" w:hAnsi="Times New Roman" w:cs="Times New Roman"/>
                <w:spacing w:val="20"/>
                <w:sz w:val="18"/>
                <w:szCs w:val="18"/>
              </w:rPr>
              <w:t>污染物排放达标与总量控制</w:t>
            </w: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251"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原有排放量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1</w:t>
            </w:r>
            <w:r>
              <w:rPr>
                <w:rFonts w:hint="eastAsia" w:ascii="Times New Roman" w:hAnsi="Times New Roman" w:cs="Times New Roman"/>
                <w:color w:val="auto"/>
                <w:sz w:val="18"/>
                <w:szCs w:val="18"/>
                <w:highlight w:val="none"/>
                <w:lang w:eastAsia="zh-CN"/>
              </w:rPr>
              <w:t>）</w:t>
            </w:r>
          </w:p>
        </w:tc>
        <w:tc>
          <w:tcPr>
            <w:tcW w:w="427" w:type="pct"/>
            <w:gridSpan w:val="3"/>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本期工程实际排放浓度</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2</w:t>
            </w:r>
            <w:r>
              <w:rPr>
                <w:rFonts w:hint="eastAsia" w:ascii="Times New Roman" w:hAnsi="Times New Roman" w:cs="Times New Roman"/>
                <w:color w:val="auto"/>
                <w:sz w:val="18"/>
                <w:szCs w:val="18"/>
                <w:highlight w:val="none"/>
                <w:lang w:eastAsia="zh-CN"/>
              </w:rPr>
              <w:t>）</w:t>
            </w:r>
          </w:p>
        </w:tc>
        <w:tc>
          <w:tcPr>
            <w:tcW w:w="354"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本期工程允许排放浓度</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eastAsia="zh-CN"/>
              </w:rPr>
              <w:t>）</w:t>
            </w:r>
          </w:p>
        </w:tc>
        <w:tc>
          <w:tcPr>
            <w:tcW w:w="369"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本期工程产生量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4</w:t>
            </w:r>
            <w:r>
              <w:rPr>
                <w:rFonts w:hint="eastAsia" w:ascii="Times New Roman" w:hAnsi="Times New Roman" w:cs="Times New Roman"/>
                <w:color w:val="auto"/>
                <w:sz w:val="18"/>
                <w:szCs w:val="18"/>
                <w:highlight w:val="none"/>
                <w:lang w:eastAsia="zh-CN"/>
              </w:rPr>
              <w:t>）</w:t>
            </w:r>
          </w:p>
        </w:tc>
        <w:tc>
          <w:tcPr>
            <w:tcW w:w="39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本期工程自身削减量</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5</w:t>
            </w:r>
            <w:r>
              <w:rPr>
                <w:rFonts w:hint="eastAsia" w:ascii="Times New Roman" w:hAnsi="Times New Roman" w:cs="Times New Roman"/>
                <w:color w:val="auto"/>
                <w:sz w:val="18"/>
                <w:szCs w:val="18"/>
                <w:highlight w:val="none"/>
                <w:lang w:eastAsia="zh-CN"/>
              </w:rPr>
              <w:t>）</w:t>
            </w:r>
          </w:p>
        </w:tc>
        <w:tc>
          <w:tcPr>
            <w:tcW w:w="356"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本期工程实际排放量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6</w:t>
            </w:r>
            <w:r>
              <w:rPr>
                <w:rFonts w:hint="eastAsia" w:ascii="Times New Roman" w:hAnsi="Times New Roman" w:cs="Times New Roman"/>
                <w:color w:val="auto"/>
                <w:sz w:val="18"/>
                <w:szCs w:val="18"/>
                <w:highlight w:val="none"/>
                <w:lang w:eastAsia="zh-CN"/>
              </w:rPr>
              <w:t>）</w:t>
            </w:r>
          </w:p>
        </w:tc>
        <w:tc>
          <w:tcPr>
            <w:tcW w:w="376"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本期工程核定排放总量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eastAsia="zh-CN"/>
              </w:rPr>
              <w:t>）</w:t>
            </w:r>
          </w:p>
        </w:tc>
        <w:tc>
          <w:tcPr>
            <w:tcW w:w="368"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本期工程“以新带老”削减量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8</w:t>
            </w:r>
            <w:r>
              <w:rPr>
                <w:rFonts w:hint="eastAsia" w:ascii="Times New Roman" w:hAnsi="Times New Roman" w:cs="Times New Roman"/>
                <w:color w:val="auto"/>
                <w:sz w:val="18"/>
                <w:szCs w:val="18"/>
                <w:highlight w:val="none"/>
                <w:lang w:eastAsia="zh-CN"/>
              </w:rPr>
              <w:t>）</w:t>
            </w:r>
          </w:p>
        </w:tc>
        <w:tc>
          <w:tcPr>
            <w:tcW w:w="370"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both"/>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全厂实际排放总量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9</w:t>
            </w:r>
            <w:r>
              <w:rPr>
                <w:rFonts w:hint="eastAsia" w:ascii="Times New Roman" w:hAnsi="Times New Roman" w:cs="Times New Roman"/>
                <w:color w:val="auto"/>
                <w:sz w:val="18"/>
                <w:szCs w:val="18"/>
                <w:highlight w:val="none"/>
                <w:lang w:eastAsia="zh-CN"/>
              </w:rPr>
              <w:t>）</w:t>
            </w:r>
          </w:p>
        </w:tc>
        <w:tc>
          <w:tcPr>
            <w:tcW w:w="325"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全厂核定排放总量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10</w:t>
            </w:r>
            <w:r>
              <w:rPr>
                <w:rFonts w:hint="eastAsia" w:ascii="Times New Roman" w:hAnsi="Times New Roman" w:cs="Times New Roman"/>
                <w:color w:val="auto"/>
                <w:sz w:val="18"/>
                <w:szCs w:val="18"/>
                <w:highlight w:val="none"/>
                <w:lang w:eastAsia="zh-CN"/>
              </w:rPr>
              <w:t>）</w:t>
            </w:r>
          </w:p>
        </w:tc>
        <w:tc>
          <w:tcPr>
            <w:tcW w:w="311"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both"/>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区域平衡替代削减量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11</w:t>
            </w:r>
            <w:r>
              <w:rPr>
                <w:rFonts w:hint="eastAsia" w:ascii="Times New Roman" w:hAnsi="Times New Roman" w:cs="Times New Roman"/>
                <w:color w:val="auto"/>
                <w:sz w:val="18"/>
                <w:szCs w:val="18"/>
                <w:highlight w:val="none"/>
                <w:lang w:eastAsia="zh-CN"/>
              </w:rPr>
              <w:t>）</w:t>
            </w:r>
          </w:p>
        </w:tc>
        <w:tc>
          <w:tcPr>
            <w:tcW w:w="303" w:type="pct"/>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eastAsia" w:ascii="Times New Roman" w:hAnsi="Times New Roman" w:cs="Times New Roman" w:eastAsiaTheme="minorEastAsia"/>
                <w:color w:val="auto"/>
                <w:sz w:val="18"/>
                <w:szCs w:val="18"/>
                <w:highlight w:val="none"/>
                <w:lang w:eastAsia="zh-CN"/>
              </w:rPr>
            </w:pPr>
            <w:r>
              <w:rPr>
                <w:rFonts w:hint="default" w:ascii="Times New Roman" w:hAnsi="Times New Roman" w:cs="Times New Roman"/>
                <w:color w:val="auto"/>
                <w:sz w:val="18"/>
                <w:szCs w:val="18"/>
                <w:highlight w:val="none"/>
              </w:rPr>
              <w:t>排放增减量</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12</w:t>
            </w:r>
            <w:r>
              <w:rPr>
                <w:rFonts w:hint="eastAsia" w:ascii="Times New Roman" w:hAnsi="Times New Roman" w:cs="Times New Roman"/>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废水</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113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化学需氧量</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113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氨      氮</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113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998"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废气</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1941.75</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93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+1941.75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颗粒物</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2.6</w:t>
            </w: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120</w:t>
            </w: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0.6252</w:t>
            </w: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0.042</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line="240" w:lineRule="auto"/>
              <w:jc w:val="center"/>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rPr>
              <w:t>烟    尘</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4.3</w:t>
            </w: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w:t>
            </w: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0.0075</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line="240" w:lineRule="auto"/>
              <w:jc w:val="center"/>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val="en-US" w:eastAsia="zh-CN"/>
              </w:rPr>
              <w:t>SO</w:t>
            </w:r>
            <w:r>
              <w:rPr>
                <w:rFonts w:hint="default" w:ascii="Times New Roman" w:hAnsi="Times New Roman" w:cs="Times New Roman"/>
                <w:b/>
                <w:color w:val="auto"/>
                <w:sz w:val="18"/>
                <w:szCs w:val="18"/>
                <w:highlight w:val="none"/>
                <w:vertAlign w:val="subscript"/>
                <w:lang w:val="en-US" w:eastAsia="zh-CN"/>
              </w:rPr>
              <w:t>2</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0.0050</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0.0060</w:t>
            </w: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line="240" w:lineRule="auto"/>
              <w:jc w:val="center"/>
              <w:textAlignment w:val="auto"/>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val="en-US" w:eastAsia="zh-CN"/>
              </w:rPr>
              <w:t>NOx</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24</w:t>
            </w: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0.042</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0.0561</w:t>
            </w: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63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工业固体废物</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26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特征污染物</w:t>
            </w: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lang w:eastAsia="zh-CN"/>
              </w:rPr>
            </w:pPr>
            <w:r>
              <w:rPr>
                <w:rFonts w:hint="eastAsia" w:ascii="Times New Roman" w:hAnsi="Times New Roman" w:eastAsia="宋体" w:cs="Times New Roman"/>
                <w:b/>
                <w:color w:val="auto"/>
                <w:sz w:val="18"/>
                <w:szCs w:val="18"/>
                <w:highlight w:val="none"/>
                <w:lang w:eastAsia="zh-CN"/>
              </w:rPr>
              <w:t>非甲烷总烃</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0.675</w:t>
            </w: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100</w:t>
            </w: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0.2076</w:t>
            </w: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0.01086</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0.0682</w:t>
            </w: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+0.01086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150" w:type="pct"/>
            <w:vMerge w:val="continue"/>
            <w:noWrap w:val="0"/>
            <w:vAlign w:val="center"/>
          </w:tcPr>
          <w:p>
            <w:pPr>
              <w:keepNext w:val="0"/>
              <w:keepLines w:val="0"/>
              <w:pageBreakBefore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firstLine="0" w:firstLineChars="0"/>
              <w:jc w:val="center"/>
              <w:textAlignment w:val="auto"/>
              <w:rPr>
                <w:rFonts w:hint="default" w:ascii="Times New Roman" w:hAnsi="Times New Roman" w:cs="Times New Roman"/>
                <w:b/>
                <w:sz w:val="18"/>
                <w:szCs w:val="18"/>
              </w:rPr>
            </w:pPr>
          </w:p>
        </w:tc>
        <w:tc>
          <w:tcPr>
            <w:tcW w:w="26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7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b/>
                <w:color w:val="auto"/>
                <w:sz w:val="18"/>
                <w:szCs w:val="18"/>
                <w:highlight w:val="none"/>
                <w:lang w:eastAsia="zh-CN"/>
              </w:rPr>
            </w:pPr>
            <w:r>
              <w:rPr>
                <w:rFonts w:hint="eastAsia" w:ascii="Times New Roman" w:hAnsi="Times New Roman" w:eastAsia="宋体" w:cs="Times New Roman"/>
                <w:b/>
                <w:color w:val="auto"/>
                <w:sz w:val="18"/>
                <w:szCs w:val="18"/>
                <w:highlight w:val="none"/>
                <w:lang w:eastAsia="zh-CN"/>
              </w:rPr>
              <w:t>甲醛</w:t>
            </w:r>
          </w:p>
        </w:tc>
        <w:tc>
          <w:tcPr>
            <w:tcW w:w="25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427"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54"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69"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9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5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6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7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highlight w:val="none"/>
                <w:lang w:val="en-US" w:eastAsia="zh-CN"/>
              </w:rPr>
            </w:pPr>
          </w:p>
        </w:tc>
        <w:tc>
          <w:tcPr>
            <w:tcW w:w="3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rPr>
            </w:pPr>
          </w:p>
        </w:tc>
        <w:tc>
          <w:tcPr>
            <w:tcW w:w="31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highlight w:val="none"/>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32" w:beforeLines="10" w:beforeAutospacing="0" w:after="32" w:afterLines="1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32" w:beforeLines="10"/>
        <w:textAlignment w:val="auto"/>
        <w:rPr>
          <w:rFonts w:hint="eastAsia"/>
          <w:sz w:val="11"/>
          <w:szCs w:val="15"/>
          <w:lang w:eastAsia="zh-CN"/>
        </w:rPr>
      </w:pPr>
      <w:r>
        <w:rPr>
          <w:b/>
          <w:sz w:val="15"/>
          <w:szCs w:val="15"/>
        </w:rPr>
        <w:t>注</w:t>
      </w:r>
      <w:r>
        <w:rPr>
          <w:sz w:val="15"/>
          <w:szCs w:val="15"/>
        </w:rPr>
        <w:t>：1、排放增减量：（+）表示增加，（-）表示减少</w:t>
      </w:r>
      <w:r>
        <w:rPr>
          <w:rFonts w:hint="eastAsia"/>
          <w:sz w:val="15"/>
          <w:szCs w:val="15"/>
        </w:rPr>
        <w:t>；2</w:t>
      </w:r>
      <w:r>
        <w:rPr>
          <w:sz w:val="15"/>
          <w:szCs w:val="15"/>
        </w:rPr>
        <w:t>、</w:t>
      </w:r>
      <w:r>
        <w:rPr>
          <w:rFonts w:hint="eastAsia"/>
          <w:sz w:val="15"/>
          <w:szCs w:val="15"/>
        </w:rPr>
        <w:t>(12)=(6)-(8)-(11)，（9）= (4)-(5)-(8)- (11) +（1）；3</w:t>
      </w:r>
      <w:r>
        <w:rPr>
          <w:sz w:val="15"/>
          <w:szCs w:val="15"/>
        </w:rPr>
        <w:t>、计量单位：废水排放量——万吨/年；废气排放量——万标立方米/年；工业固体废物排放量——万吨/年； 水污染物排放浓度——毫克/升</w:t>
      </w:r>
      <w:r>
        <w:rPr>
          <w:rFonts w:hint="eastAsia"/>
          <w:sz w:val="15"/>
          <w:szCs w:val="15"/>
        </w:rPr>
        <w:t>；</w:t>
      </w:r>
      <w:r>
        <w:rPr>
          <w:sz w:val="15"/>
          <w:szCs w:val="15"/>
        </w:rPr>
        <w:t>大气污染物排放浓度——毫克/立方米；水污染物排放量——吨/年；大气污染物排放量——吨/年</w:t>
      </w:r>
    </w:p>
    <w:sectPr>
      <w:pgSz w:w="16840" w:h="11907" w:orient="landscape"/>
      <w:pgMar w:top="850" w:right="850" w:bottom="680" w:left="850" w:header="567"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AE4C70"/>
    <w:multiLevelType w:val="singleLevel"/>
    <w:tmpl w:val="30AE4C7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wNWUwZmY1ZTBjZDQ4Zjk5YjBhMGFiZWQwOGVmYzMifQ=="/>
  </w:docVars>
  <w:rsids>
    <w:rsidRoot w:val="00000000"/>
    <w:rsid w:val="00437AB9"/>
    <w:rsid w:val="004A3A12"/>
    <w:rsid w:val="00E7231B"/>
    <w:rsid w:val="01F658E6"/>
    <w:rsid w:val="024456AE"/>
    <w:rsid w:val="02784B1E"/>
    <w:rsid w:val="02A95F0B"/>
    <w:rsid w:val="02D03B03"/>
    <w:rsid w:val="02E63532"/>
    <w:rsid w:val="0340439C"/>
    <w:rsid w:val="03557F2B"/>
    <w:rsid w:val="04A85F31"/>
    <w:rsid w:val="04CE24F8"/>
    <w:rsid w:val="0503137E"/>
    <w:rsid w:val="053C1881"/>
    <w:rsid w:val="053E09D5"/>
    <w:rsid w:val="05674830"/>
    <w:rsid w:val="05C5778C"/>
    <w:rsid w:val="05DA20F1"/>
    <w:rsid w:val="067656E4"/>
    <w:rsid w:val="07536276"/>
    <w:rsid w:val="078C4836"/>
    <w:rsid w:val="07AE5654"/>
    <w:rsid w:val="082A02AA"/>
    <w:rsid w:val="08311CBE"/>
    <w:rsid w:val="09D63F13"/>
    <w:rsid w:val="0A5849EC"/>
    <w:rsid w:val="0A8E36C8"/>
    <w:rsid w:val="0B3104C4"/>
    <w:rsid w:val="0B9D7C0A"/>
    <w:rsid w:val="0BBE0095"/>
    <w:rsid w:val="0BCE79AD"/>
    <w:rsid w:val="0C7F1BA5"/>
    <w:rsid w:val="0CF75FE2"/>
    <w:rsid w:val="0D4350B1"/>
    <w:rsid w:val="0D8A27C9"/>
    <w:rsid w:val="0E263CDD"/>
    <w:rsid w:val="0E750C44"/>
    <w:rsid w:val="0F876826"/>
    <w:rsid w:val="0FD521C6"/>
    <w:rsid w:val="10223F85"/>
    <w:rsid w:val="10356B89"/>
    <w:rsid w:val="10504F37"/>
    <w:rsid w:val="10B52210"/>
    <w:rsid w:val="10EB3E09"/>
    <w:rsid w:val="12237D21"/>
    <w:rsid w:val="12BA71B0"/>
    <w:rsid w:val="13133522"/>
    <w:rsid w:val="133252D5"/>
    <w:rsid w:val="134968CF"/>
    <w:rsid w:val="135A182D"/>
    <w:rsid w:val="13B04281"/>
    <w:rsid w:val="13E16313"/>
    <w:rsid w:val="13F77F00"/>
    <w:rsid w:val="14345A34"/>
    <w:rsid w:val="14470C85"/>
    <w:rsid w:val="14857EDB"/>
    <w:rsid w:val="14AA73D8"/>
    <w:rsid w:val="14BA1C85"/>
    <w:rsid w:val="15730689"/>
    <w:rsid w:val="16137B6C"/>
    <w:rsid w:val="16601B51"/>
    <w:rsid w:val="166B5F71"/>
    <w:rsid w:val="17216328"/>
    <w:rsid w:val="17B7635E"/>
    <w:rsid w:val="17CD078B"/>
    <w:rsid w:val="188744BB"/>
    <w:rsid w:val="18C56A5B"/>
    <w:rsid w:val="19756550"/>
    <w:rsid w:val="1A6122DE"/>
    <w:rsid w:val="1D655993"/>
    <w:rsid w:val="1D8A41DF"/>
    <w:rsid w:val="1E377260"/>
    <w:rsid w:val="1E6E7863"/>
    <w:rsid w:val="1EAB0709"/>
    <w:rsid w:val="1EE66DBE"/>
    <w:rsid w:val="20CD5643"/>
    <w:rsid w:val="219238CC"/>
    <w:rsid w:val="21B412FB"/>
    <w:rsid w:val="2245269C"/>
    <w:rsid w:val="22DB4F8B"/>
    <w:rsid w:val="22DD5C8E"/>
    <w:rsid w:val="22F55F19"/>
    <w:rsid w:val="233B0F9F"/>
    <w:rsid w:val="240F0136"/>
    <w:rsid w:val="25207939"/>
    <w:rsid w:val="2526001C"/>
    <w:rsid w:val="25377D83"/>
    <w:rsid w:val="259A14F6"/>
    <w:rsid w:val="25E77BE8"/>
    <w:rsid w:val="26777FFE"/>
    <w:rsid w:val="26BF15DE"/>
    <w:rsid w:val="27BC63BE"/>
    <w:rsid w:val="27F7054E"/>
    <w:rsid w:val="280F06D1"/>
    <w:rsid w:val="288F0880"/>
    <w:rsid w:val="29735D90"/>
    <w:rsid w:val="29A72376"/>
    <w:rsid w:val="2AE90FAD"/>
    <w:rsid w:val="2B541789"/>
    <w:rsid w:val="2BFA09B4"/>
    <w:rsid w:val="2C1D0F8F"/>
    <w:rsid w:val="2CF765A7"/>
    <w:rsid w:val="2D042103"/>
    <w:rsid w:val="2D164861"/>
    <w:rsid w:val="2D54628F"/>
    <w:rsid w:val="2E74470B"/>
    <w:rsid w:val="2EA27164"/>
    <w:rsid w:val="2FD6687A"/>
    <w:rsid w:val="2FF2184D"/>
    <w:rsid w:val="2FFB21C9"/>
    <w:rsid w:val="300B586A"/>
    <w:rsid w:val="30825AF4"/>
    <w:rsid w:val="315C20B5"/>
    <w:rsid w:val="31EB5716"/>
    <w:rsid w:val="31FD5C2E"/>
    <w:rsid w:val="32812C4C"/>
    <w:rsid w:val="32E945B8"/>
    <w:rsid w:val="32F47355"/>
    <w:rsid w:val="334E79EB"/>
    <w:rsid w:val="33CA6012"/>
    <w:rsid w:val="34CB0536"/>
    <w:rsid w:val="35E50CCC"/>
    <w:rsid w:val="36935C38"/>
    <w:rsid w:val="377159FD"/>
    <w:rsid w:val="37FF4FDD"/>
    <w:rsid w:val="388D0C96"/>
    <w:rsid w:val="39744341"/>
    <w:rsid w:val="39D3374A"/>
    <w:rsid w:val="39D773E0"/>
    <w:rsid w:val="39F108DB"/>
    <w:rsid w:val="3A384C4B"/>
    <w:rsid w:val="3A4412A8"/>
    <w:rsid w:val="3B0E2FB6"/>
    <w:rsid w:val="3B670212"/>
    <w:rsid w:val="3BD05867"/>
    <w:rsid w:val="3BDC187E"/>
    <w:rsid w:val="3C5460F3"/>
    <w:rsid w:val="3D9F4B0C"/>
    <w:rsid w:val="3DD30D99"/>
    <w:rsid w:val="3E3E2BD2"/>
    <w:rsid w:val="3E456DFF"/>
    <w:rsid w:val="3E4F6F5C"/>
    <w:rsid w:val="3EA838A0"/>
    <w:rsid w:val="3F2D67DB"/>
    <w:rsid w:val="3F4600B2"/>
    <w:rsid w:val="3F5D3A37"/>
    <w:rsid w:val="3FD8052B"/>
    <w:rsid w:val="40372945"/>
    <w:rsid w:val="40882947"/>
    <w:rsid w:val="40CD3BA1"/>
    <w:rsid w:val="41192239"/>
    <w:rsid w:val="420727C7"/>
    <w:rsid w:val="42B91FA4"/>
    <w:rsid w:val="43155897"/>
    <w:rsid w:val="437552BB"/>
    <w:rsid w:val="43E278F8"/>
    <w:rsid w:val="44425756"/>
    <w:rsid w:val="44E4687B"/>
    <w:rsid w:val="44F504C3"/>
    <w:rsid w:val="45087033"/>
    <w:rsid w:val="456E6E45"/>
    <w:rsid w:val="457B0420"/>
    <w:rsid w:val="45E51D76"/>
    <w:rsid w:val="46BC2A65"/>
    <w:rsid w:val="46E74881"/>
    <w:rsid w:val="47422C86"/>
    <w:rsid w:val="47480A77"/>
    <w:rsid w:val="47C123C2"/>
    <w:rsid w:val="47E86299"/>
    <w:rsid w:val="48070D0B"/>
    <w:rsid w:val="49DF71E4"/>
    <w:rsid w:val="4A290C9F"/>
    <w:rsid w:val="4A4A1C56"/>
    <w:rsid w:val="4B063FAA"/>
    <w:rsid w:val="4B3E4566"/>
    <w:rsid w:val="4BAD0E78"/>
    <w:rsid w:val="4D69563F"/>
    <w:rsid w:val="4DDF1E78"/>
    <w:rsid w:val="4E2336D9"/>
    <w:rsid w:val="4F0F25B6"/>
    <w:rsid w:val="4FBF71F2"/>
    <w:rsid w:val="50CA45A4"/>
    <w:rsid w:val="51E973DB"/>
    <w:rsid w:val="530942A9"/>
    <w:rsid w:val="55192F6E"/>
    <w:rsid w:val="5534323F"/>
    <w:rsid w:val="55A560CD"/>
    <w:rsid w:val="560677FC"/>
    <w:rsid w:val="566E0A5C"/>
    <w:rsid w:val="566F7F92"/>
    <w:rsid w:val="573C3750"/>
    <w:rsid w:val="57D76043"/>
    <w:rsid w:val="58020653"/>
    <w:rsid w:val="58A40398"/>
    <w:rsid w:val="5A4643AE"/>
    <w:rsid w:val="5A721C51"/>
    <w:rsid w:val="5ABA7707"/>
    <w:rsid w:val="5AE701B8"/>
    <w:rsid w:val="5B9C56B2"/>
    <w:rsid w:val="5BFA0CAF"/>
    <w:rsid w:val="5C0B0B13"/>
    <w:rsid w:val="5C0F3FA1"/>
    <w:rsid w:val="5C2F265B"/>
    <w:rsid w:val="5D9E23C6"/>
    <w:rsid w:val="5E2F3332"/>
    <w:rsid w:val="602E5E5A"/>
    <w:rsid w:val="617E0B49"/>
    <w:rsid w:val="61BC0110"/>
    <w:rsid w:val="62074354"/>
    <w:rsid w:val="6209300B"/>
    <w:rsid w:val="62321767"/>
    <w:rsid w:val="62F029C6"/>
    <w:rsid w:val="62F74338"/>
    <w:rsid w:val="64132533"/>
    <w:rsid w:val="65AF25EA"/>
    <w:rsid w:val="66185405"/>
    <w:rsid w:val="66530AA0"/>
    <w:rsid w:val="66882B91"/>
    <w:rsid w:val="67566ADA"/>
    <w:rsid w:val="67961B3A"/>
    <w:rsid w:val="6A441854"/>
    <w:rsid w:val="6A4A07D1"/>
    <w:rsid w:val="6C20698E"/>
    <w:rsid w:val="6EF0082C"/>
    <w:rsid w:val="6F0F3154"/>
    <w:rsid w:val="6F155A1F"/>
    <w:rsid w:val="6F2A090D"/>
    <w:rsid w:val="6F2E2159"/>
    <w:rsid w:val="6FDC6641"/>
    <w:rsid w:val="709241FA"/>
    <w:rsid w:val="70992550"/>
    <w:rsid w:val="70AD1326"/>
    <w:rsid w:val="716C7D3E"/>
    <w:rsid w:val="71933188"/>
    <w:rsid w:val="720D5859"/>
    <w:rsid w:val="722C567C"/>
    <w:rsid w:val="72BF6F17"/>
    <w:rsid w:val="72E82878"/>
    <w:rsid w:val="73226E5F"/>
    <w:rsid w:val="73550A2E"/>
    <w:rsid w:val="73A47923"/>
    <w:rsid w:val="741837C9"/>
    <w:rsid w:val="745D2E87"/>
    <w:rsid w:val="753817D5"/>
    <w:rsid w:val="768609CD"/>
    <w:rsid w:val="77F70785"/>
    <w:rsid w:val="781A644B"/>
    <w:rsid w:val="79283BD2"/>
    <w:rsid w:val="7A883435"/>
    <w:rsid w:val="7ADD375E"/>
    <w:rsid w:val="7B683F24"/>
    <w:rsid w:val="7B6E6C5A"/>
    <w:rsid w:val="7BC41C68"/>
    <w:rsid w:val="7BD72512"/>
    <w:rsid w:val="7CAC5221"/>
    <w:rsid w:val="7CB916E9"/>
    <w:rsid w:val="7D297AEF"/>
    <w:rsid w:val="7E462FCD"/>
    <w:rsid w:val="7E9A3EF8"/>
    <w:rsid w:val="7EA21BC1"/>
    <w:rsid w:val="7F8C1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报告正文"/>
    <w:basedOn w:val="1"/>
    <w:qFormat/>
    <w:uiPriority w:val="0"/>
    <w:pPr>
      <w:spacing w:line="480" w:lineRule="exact"/>
      <w:ind w:firstLine="200" w:firstLineChars="200"/>
    </w:pPr>
    <w:rPr>
      <w:color w:val="000000"/>
      <w:sz w:val="24"/>
      <w:lang w:val="en-US" w:eastAsia="zh-CN"/>
    </w:rPr>
  </w:style>
  <w:style w:type="paragraph" w:styleId="4">
    <w:name w:val="Normal Indent"/>
    <w:basedOn w:val="1"/>
    <w:next w:val="1"/>
    <w:qFormat/>
    <w:uiPriority w:val="0"/>
    <w:pPr>
      <w:ind w:firstLine="420"/>
    </w:pPr>
    <w:rPr>
      <w:szCs w:val="20"/>
    </w:rPr>
  </w:style>
  <w:style w:type="paragraph" w:styleId="5">
    <w:name w:val="Salutation"/>
    <w:basedOn w:val="1"/>
    <w:next w:val="1"/>
    <w:qFormat/>
    <w:uiPriority w:val="0"/>
  </w:style>
  <w:style w:type="paragraph" w:styleId="6">
    <w:name w:val="Body Text"/>
    <w:basedOn w:val="1"/>
    <w:qFormat/>
    <w:uiPriority w:val="0"/>
    <w:pPr>
      <w:spacing w:after="120" w:afterLines="0"/>
    </w:pPr>
    <w:rPr>
      <w:szCs w:val="20"/>
    </w:rPr>
  </w:style>
  <w:style w:type="paragraph" w:styleId="7">
    <w:name w:val="Body Text Indent"/>
    <w:basedOn w:val="1"/>
    <w:qFormat/>
    <w:uiPriority w:val="0"/>
    <w:pPr>
      <w:ind w:firstLine="480"/>
    </w:pPr>
    <w:rPr>
      <w:sz w:val="24"/>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7"/>
    <w:next w:val="1"/>
    <w:qFormat/>
    <w:uiPriority w:val="0"/>
    <w:pPr>
      <w:spacing w:after="120"/>
      <w:ind w:left="420" w:leftChars="200" w:firstLine="420"/>
    </w:pPr>
    <w:rPr>
      <w:sz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List Paragraph"/>
    <w:basedOn w:val="1"/>
    <w:qFormat/>
    <w:uiPriority w:val="99"/>
    <w:pPr>
      <w:ind w:firstLine="420" w:firstLineChars="200"/>
    </w:pPr>
  </w:style>
  <w:style w:type="paragraph" w:customStyle="1" w:styleId="15">
    <w:name w:val="表头 样式"/>
    <w:basedOn w:val="1"/>
    <w:qFormat/>
    <w:uiPriority w:val="0"/>
    <w:pPr>
      <w:adjustRightInd w:val="0"/>
      <w:snapToGrid w:val="0"/>
      <w:spacing w:line="520" w:lineRule="exact"/>
      <w:jc w:val="center"/>
    </w:pPr>
    <w:rPr>
      <w:rFonts w:ascii="Times New Roman" w:hAnsi="Times New Roman" w:eastAsia="黑体"/>
      <w:bCs/>
      <w:color w:val="000000"/>
      <w:sz w:val="24"/>
      <w:szCs w:val="24"/>
    </w:rPr>
  </w:style>
  <w:style w:type="paragraph" w:customStyle="1" w:styleId="16">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
    <w:name w:val="表格内文字"/>
    <w:basedOn w:val="1"/>
    <w:qFormat/>
    <w:uiPriority w:val="0"/>
    <w:pPr>
      <w:spacing w:line="360" w:lineRule="exact"/>
      <w:jc w:val="center"/>
    </w:pPr>
    <w:rPr>
      <w:szCs w:val="21"/>
    </w:rPr>
  </w:style>
  <w:style w:type="paragraph" w:customStyle="1" w:styleId="18">
    <w:name w:val="表内格式"/>
    <w:basedOn w:val="1"/>
    <w:next w:val="5"/>
    <w:qFormat/>
    <w:uiPriority w:val="0"/>
    <w:pPr>
      <w:keepLines/>
      <w:jc w:val="center"/>
    </w:pPr>
    <w:rPr>
      <w:rFonts w:hAnsi="宋体" w:eastAsia="宋体"/>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2250</Words>
  <Characters>2708</Characters>
  <Lines>0</Lines>
  <Paragraphs>0</Paragraphs>
  <TotalTime>4</TotalTime>
  <ScaleCrop>false</ScaleCrop>
  <LinksUpToDate>false</LinksUpToDate>
  <CharactersWithSpaces>2847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2021-06-09T03:01:00Z</dcterms:created>
  <dc:creator>Administrator</dc:creator>
  <cp:lastModifiedBy>阿尔忒弥斯</cp:lastModifiedBy>
  <cp:lastPrinted>2021-12-22T03:51:00Z</cp:lastPrinted>
  <dcterms:modified xsi:type="dcterms:W3CDTF">2023-02-25T00:46:03Z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BAB5EC2F8300487AB9EF81FA9FEAB12B</vt:lpwstr>
  </property>
</Properties>
</file>