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cs="Times New Roman"/>
          <w:b/>
          <w:color w:val="000000"/>
          <w:sz w:val="48"/>
          <w:szCs w:val="48"/>
          <w:lang w:eastAsia="zh-CN"/>
        </w:rPr>
      </w:pPr>
    </w:p>
    <w:p>
      <w:pPr>
        <w:pStyle w:val="5"/>
        <w:rPr>
          <w:rFonts w:hint="eastAsia"/>
          <w:lang w:eastAsia="zh-CN"/>
        </w:rPr>
      </w:pPr>
    </w:p>
    <w:p>
      <w:pPr>
        <w:spacing w:line="360" w:lineRule="auto"/>
        <w:jc w:val="center"/>
        <w:rPr>
          <w:rFonts w:hint="eastAsia" w:ascii="华文新魏" w:eastAsia="华文新魏" w:cs="Times New Roman"/>
          <w:b/>
          <w:color w:val="000000"/>
          <w:sz w:val="48"/>
          <w:szCs w:val="48"/>
          <w:lang w:val="en-US" w:eastAsia="zh-CN"/>
        </w:rPr>
      </w:pPr>
      <w:r>
        <w:rPr>
          <w:rFonts w:hint="eastAsia" w:ascii="华文新魏" w:eastAsia="华文新魏" w:cs="Times New Roman"/>
          <w:b/>
          <w:color w:val="000000"/>
          <w:sz w:val="48"/>
          <w:szCs w:val="48"/>
          <w:lang w:val="en-US" w:eastAsia="zh-CN"/>
        </w:rPr>
        <w:t>濮阳市广源油脂有限公司年加工7.2万吨</w:t>
      </w:r>
    </w:p>
    <w:p>
      <w:pPr>
        <w:spacing w:line="360" w:lineRule="auto"/>
        <w:jc w:val="center"/>
        <w:rPr>
          <w:rFonts w:hint="default" w:ascii="华文新魏" w:eastAsia="华文新魏" w:cs="Times New Roman"/>
          <w:b/>
          <w:color w:val="000000"/>
          <w:sz w:val="48"/>
          <w:szCs w:val="48"/>
        </w:rPr>
      </w:pPr>
      <w:r>
        <w:rPr>
          <w:rFonts w:hint="eastAsia" w:ascii="华文新魏" w:eastAsia="华文新魏" w:cs="Times New Roman"/>
          <w:b/>
          <w:color w:val="000000"/>
          <w:sz w:val="48"/>
          <w:szCs w:val="48"/>
          <w:lang w:val="en-US" w:eastAsia="zh-CN"/>
        </w:rPr>
        <w:t>花生油及浸出生产线改扩建项目</w:t>
      </w:r>
      <w:r>
        <w:rPr>
          <w:rFonts w:hint="default" w:ascii="华文新魏" w:eastAsia="华文新魏" w:cs="Times New Roman"/>
          <w:b/>
          <w:color w:val="000000"/>
          <w:sz w:val="48"/>
          <w:szCs w:val="48"/>
        </w:rPr>
        <w:t>竣工</w:t>
      </w:r>
    </w:p>
    <w:p>
      <w:pPr>
        <w:spacing w:line="360" w:lineRule="auto"/>
        <w:jc w:val="center"/>
        <w:rPr>
          <w:rFonts w:hint="default" w:ascii="华文新魏" w:eastAsia="华文新魏" w:cs="Times New Roman"/>
          <w:b/>
          <w:color w:val="000000"/>
          <w:sz w:val="48"/>
          <w:szCs w:val="48"/>
        </w:rPr>
      </w:pPr>
      <w:r>
        <w:rPr>
          <w:rFonts w:hint="default" w:ascii="华文新魏" w:eastAsia="华文新魏" w:cs="Times New Roman"/>
          <w:b/>
          <w:color w:val="000000"/>
          <w:sz w:val="48"/>
          <w:szCs w:val="48"/>
        </w:rPr>
        <w:t>环境保护验收</w:t>
      </w:r>
      <w:r>
        <w:rPr>
          <w:rFonts w:hint="eastAsia" w:ascii="华文新魏" w:eastAsia="华文新魏" w:cs="Times New Roman"/>
          <w:b/>
          <w:color w:val="000000"/>
          <w:sz w:val="48"/>
          <w:szCs w:val="48"/>
          <w:lang w:eastAsia="zh-CN"/>
        </w:rPr>
        <w:t>（固废调查）</w:t>
      </w:r>
      <w:r>
        <w:rPr>
          <w:rFonts w:hint="default" w:ascii="华文新魏" w:eastAsia="华文新魏" w:cs="Times New Roman"/>
          <w:b/>
          <w:color w:val="000000"/>
          <w:sz w:val="48"/>
          <w:szCs w:val="48"/>
        </w:rPr>
        <w:t>报告表</w:t>
      </w:r>
    </w:p>
    <w:p>
      <w:pPr>
        <w:spacing w:line="360" w:lineRule="auto"/>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建设单位:</w:t>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lang w:val="en-US" w:eastAsia="zh-CN"/>
        </w:rPr>
        <w:t>濮阳市广源油脂有限公司</w:t>
      </w:r>
    </w:p>
    <w:p>
      <w:pPr>
        <w:jc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lang w:val="en-US" w:eastAsia="zh-CN"/>
        </w:rPr>
        <w:t>编制单位：  濮阳市广源油脂有限公司</w:t>
      </w:r>
    </w:p>
    <w:p>
      <w:pPr>
        <w:jc w:val="center"/>
        <w:rPr>
          <w:rFonts w:hint="default" w:ascii="Times New Roman" w:hAnsi="Times New Roman" w:eastAsia="宋体" w:cs="Times New Roman"/>
          <w:color w:val="000000"/>
          <w:sz w:val="24"/>
          <w:szCs w:val="24"/>
        </w:rPr>
      </w:pPr>
    </w:p>
    <w:p>
      <w:pPr>
        <w:jc w:val="both"/>
        <w:rPr>
          <w:rFonts w:hint="default"/>
        </w:rPr>
      </w:pPr>
    </w:p>
    <w:p>
      <w:pPr>
        <w:jc w:val="center"/>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eastAsia="zh-CN"/>
        </w:rPr>
        <w:t>二零二零</w:t>
      </w:r>
      <w:r>
        <w:rPr>
          <w:rFonts w:hint="eastAsia" w:asciiTheme="minorEastAsia" w:hAnsiTheme="minorEastAsia" w:eastAsiaTheme="minorEastAsia" w:cstheme="minorEastAsia"/>
          <w:color w:val="000000"/>
          <w:sz w:val="28"/>
          <w:szCs w:val="28"/>
        </w:rPr>
        <w:t>年</w:t>
      </w:r>
      <w:r>
        <w:rPr>
          <w:rFonts w:hint="eastAsia" w:asciiTheme="minorEastAsia" w:hAnsiTheme="minorEastAsia" w:eastAsiaTheme="minorEastAsia" w:cstheme="minorEastAsia"/>
          <w:color w:val="000000"/>
          <w:sz w:val="28"/>
          <w:szCs w:val="28"/>
          <w:lang w:eastAsia="zh-CN"/>
        </w:rPr>
        <w:t>十一</w:t>
      </w:r>
      <w:r>
        <w:rPr>
          <w:rFonts w:hint="eastAsia" w:asciiTheme="minorEastAsia" w:hAnsiTheme="minorEastAsia" w:eastAsiaTheme="minorEastAsia" w:cstheme="minorEastAsia"/>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3"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spacing w:line="360" w:lineRule="auto"/>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tabs>
          <w:tab w:val="left" w:pos="984"/>
        </w:tabs>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5"/>
        <w:rPr>
          <w:rFonts w:hint="default" w:ascii="Times New Roman" w:hAnsi="Times New Roman" w:eastAsia="宋体" w:cs="Times New Roman"/>
          <w:color w:val="000000"/>
          <w:sz w:val="24"/>
          <w:szCs w:val="24"/>
        </w:rPr>
      </w:pPr>
    </w:p>
    <w:p>
      <w:pPr>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2"/>
        <w:rPr>
          <w:rFonts w:hint="default"/>
        </w:rPr>
      </w:pPr>
    </w:p>
    <w:tbl>
      <w:tblPr>
        <w:tblStyle w:val="12"/>
        <w:tblpPr w:leftFromText="180" w:rightFromText="180" w:vertAnchor="text" w:horzAnchor="page" w:tblpXSpec="center" w:tblpY="179"/>
        <w:tblOverlap w:val="never"/>
        <w:tblW w:w="10730" w:type="dxa"/>
        <w:jc w:val="center"/>
        <w:tblLayout w:type="fixed"/>
        <w:tblCellMar>
          <w:top w:w="0" w:type="dxa"/>
          <w:left w:w="108" w:type="dxa"/>
          <w:bottom w:w="0" w:type="dxa"/>
          <w:right w:w="108" w:type="dxa"/>
        </w:tblCellMar>
      </w:tblPr>
      <w:tblGrid>
        <w:gridCol w:w="5525"/>
        <w:gridCol w:w="5205"/>
      </w:tblGrid>
      <w:tr>
        <w:tblPrEx>
          <w:tblCellMar>
            <w:top w:w="0" w:type="dxa"/>
            <w:left w:w="108" w:type="dxa"/>
            <w:bottom w:w="0" w:type="dxa"/>
            <w:right w:w="108" w:type="dxa"/>
          </w:tblCellMar>
        </w:tblPrEx>
        <w:trPr>
          <w:trHeight w:val="1128" w:hRule="exact"/>
          <w:jc w:val="center"/>
        </w:trPr>
        <w:tc>
          <w:tcPr>
            <w:tcW w:w="5525"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建设单位：</w:t>
            </w:r>
            <w:r>
              <w:rPr>
                <w:rFonts w:hint="eastAsia" w:ascii="Times New Roman" w:hAnsi="Times New Roman" w:eastAsia="宋体" w:cs="Times New Roman"/>
                <w:sz w:val="24"/>
                <w:lang w:eastAsia="zh-CN"/>
              </w:rPr>
              <w:t>濮阳市广源油脂有限公司（盖章）</w:t>
            </w:r>
          </w:p>
        </w:tc>
        <w:tc>
          <w:tcPr>
            <w:tcW w:w="5205"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编制单位：</w:t>
            </w:r>
            <w:r>
              <w:rPr>
                <w:rFonts w:hint="eastAsia" w:ascii="Times New Roman" w:hAnsi="Times New Roman" w:eastAsia="宋体" w:cs="Times New Roman"/>
                <w:sz w:val="24"/>
                <w:lang w:eastAsia="zh-CN"/>
              </w:rPr>
              <w:t>濮阳市广源油脂有限公司（盖章）</w:t>
            </w:r>
          </w:p>
        </w:tc>
      </w:tr>
      <w:tr>
        <w:tblPrEx>
          <w:tblCellMar>
            <w:top w:w="0" w:type="dxa"/>
            <w:left w:w="108" w:type="dxa"/>
            <w:bottom w:w="0" w:type="dxa"/>
            <w:right w:w="108" w:type="dxa"/>
          </w:tblCellMar>
        </w:tblPrEx>
        <w:trPr>
          <w:trHeight w:val="794" w:hRule="exact"/>
          <w:jc w:val="center"/>
        </w:trPr>
        <w:tc>
          <w:tcPr>
            <w:tcW w:w="5525"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bCs/>
                <w:kern w:val="0"/>
                <w:sz w:val="24"/>
              </w:rPr>
              <w:t>电    话：</w:t>
            </w:r>
            <w:r>
              <w:rPr>
                <w:rFonts w:hint="eastAsia" w:ascii="Times New Roman" w:hAnsi="Times New Roman" w:eastAsia="宋体" w:cs="Times New Roman"/>
                <w:bCs/>
                <w:kern w:val="0"/>
                <w:sz w:val="24"/>
                <w:lang w:val="en-US" w:eastAsia="zh-CN"/>
              </w:rPr>
              <w:t>13503936039</w:t>
            </w:r>
          </w:p>
        </w:tc>
        <w:tc>
          <w:tcPr>
            <w:tcW w:w="5205"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sz w:val="24"/>
              </w:rPr>
              <w:t>电    话：</w:t>
            </w:r>
            <w:r>
              <w:rPr>
                <w:rFonts w:hint="eastAsia" w:ascii="Times New Roman" w:hAnsi="Times New Roman" w:eastAsia="宋体" w:cs="Times New Roman"/>
                <w:sz w:val="24"/>
                <w:lang w:val="en-US" w:eastAsia="zh-CN"/>
              </w:rPr>
              <w:t>13503936039</w:t>
            </w:r>
          </w:p>
        </w:tc>
      </w:tr>
      <w:tr>
        <w:tblPrEx>
          <w:tblCellMar>
            <w:top w:w="0" w:type="dxa"/>
            <w:left w:w="108" w:type="dxa"/>
            <w:bottom w:w="0" w:type="dxa"/>
            <w:right w:w="108" w:type="dxa"/>
          </w:tblCellMar>
        </w:tblPrEx>
        <w:trPr>
          <w:trHeight w:val="783" w:hRule="exact"/>
          <w:jc w:val="center"/>
        </w:trPr>
        <w:tc>
          <w:tcPr>
            <w:tcW w:w="5525" w:type="dxa"/>
            <w:noWrap w:val="0"/>
            <w:vAlign w:val="bottom"/>
          </w:tcPr>
          <w:p>
            <w:pPr>
              <w:spacing w:line="360" w:lineRule="auto"/>
              <w:rPr>
                <w:rFonts w:hint="eastAsia" w:ascii="Times New Roman" w:hAnsi="Times New Roman" w:eastAsia="宋体" w:cs="Times New Roman"/>
                <w:sz w:val="24"/>
                <w:lang w:eastAsia="zh-CN"/>
              </w:rPr>
            </w:pPr>
            <w:r>
              <w:rPr>
                <w:rFonts w:hint="default" w:ascii="Times New Roman" w:hAnsi="Times New Roman" w:eastAsia="宋体" w:cs="Times New Roman"/>
                <w:bCs/>
                <w:kern w:val="0"/>
                <w:sz w:val="24"/>
              </w:rPr>
              <w:t>邮    编：</w:t>
            </w:r>
            <w:r>
              <w:rPr>
                <w:rFonts w:hint="eastAsia" w:ascii="Times New Roman" w:hAnsi="Times New Roman" w:eastAsia="宋体" w:cs="Times New Roman"/>
                <w:bCs/>
                <w:kern w:val="0"/>
                <w:sz w:val="24"/>
                <w:lang w:eastAsia="zh-CN"/>
              </w:rPr>
              <w:t>457400</w:t>
            </w:r>
          </w:p>
        </w:tc>
        <w:tc>
          <w:tcPr>
            <w:tcW w:w="5205" w:type="dxa"/>
            <w:noWrap w:val="0"/>
            <w:vAlign w:val="bottom"/>
          </w:tcPr>
          <w:p>
            <w:pPr>
              <w:spacing w:line="360" w:lineRule="auto"/>
              <w:rPr>
                <w:rFonts w:hint="eastAsia" w:ascii="Times New Roman" w:hAnsi="Times New Roman" w:eastAsia="宋体" w:cs="Times New Roman"/>
                <w:sz w:val="24"/>
                <w:lang w:eastAsia="zh-CN"/>
              </w:rPr>
            </w:pPr>
            <w:r>
              <w:rPr>
                <w:rFonts w:hint="default" w:ascii="Times New Roman" w:hAnsi="Times New Roman" w:eastAsia="宋体" w:cs="Times New Roman"/>
                <w:sz w:val="24"/>
              </w:rPr>
              <w:t>邮    编：</w:t>
            </w:r>
            <w:r>
              <w:rPr>
                <w:rFonts w:hint="eastAsia" w:ascii="Times New Roman" w:hAnsi="Times New Roman" w:eastAsia="宋体" w:cs="Times New Roman"/>
                <w:sz w:val="24"/>
                <w:lang w:eastAsia="zh-CN"/>
              </w:rPr>
              <w:t>457400</w:t>
            </w:r>
          </w:p>
        </w:tc>
      </w:tr>
      <w:tr>
        <w:tblPrEx>
          <w:tblCellMar>
            <w:top w:w="0" w:type="dxa"/>
            <w:left w:w="108" w:type="dxa"/>
            <w:bottom w:w="0" w:type="dxa"/>
            <w:right w:w="108" w:type="dxa"/>
          </w:tblCellMar>
        </w:tblPrEx>
        <w:trPr>
          <w:trHeight w:val="1412" w:hRule="exact"/>
          <w:jc w:val="center"/>
        </w:trPr>
        <w:tc>
          <w:tcPr>
            <w:tcW w:w="5525" w:type="dxa"/>
            <w:noWrap w:val="0"/>
            <w:vAlign w:val="center"/>
          </w:tcPr>
          <w:p>
            <w:pPr>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地    址：</w:t>
            </w:r>
            <w:r>
              <w:rPr>
                <w:rFonts w:hint="eastAsia" w:ascii="Times New Roman" w:hAnsi="Times New Roman" w:eastAsia="宋体" w:cs="Times New Roman"/>
                <w:bCs/>
                <w:sz w:val="24"/>
                <w:lang w:eastAsia="zh-CN"/>
              </w:rPr>
              <w:t>濮阳市南乐县产业集聚区傅潭路东段</w:t>
            </w:r>
          </w:p>
        </w:tc>
        <w:tc>
          <w:tcPr>
            <w:tcW w:w="5205" w:type="dxa"/>
            <w:noWrap w:val="0"/>
            <w:vAlign w:val="center"/>
          </w:tcPr>
          <w:p>
            <w:pPr>
              <w:spacing w:line="360" w:lineRule="auto"/>
              <w:rPr>
                <w:rFonts w:hint="default" w:ascii="Times New Roman" w:hAnsi="Times New Roman" w:eastAsia="宋体" w:cs="Times New Roman"/>
                <w:sz w:val="24"/>
              </w:rPr>
            </w:pPr>
            <w:r>
              <w:rPr>
                <w:rFonts w:hint="default" w:ascii="Times New Roman" w:hAnsi="Times New Roman" w:eastAsia="宋体" w:cs="Times New Roman"/>
                <w:sz w:val="24"/>
              </w:rPr>
              <w:t>地    址：</w:t>
            </w:r>
            <w:r>
              <w:rPr>
                <w:rFonts w:hint="eastAsia" w:ascii="Times New Roman" w:hAnsi="Times New Roman" w:eastAsia="宋体" w:cs="Times New Roman"/>
                <w:sz w:val="24"/>
                <w:lang w:eastAsia="zh-CN"/>
              </w:rPr>
              <w:t>濮阳市南乐县产业集聚区傅潭路东段</w:t>
            </w: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sectPr>
          <w:footerReference r:id="rId4"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表一</w:t>
      </w:r>
    </w:p>
    <w:tbl>
      <w:tblPr>
        <w:tblStyle w:val="12"/>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07"/>
        <w:gridCol w:w="1578"/>
        <w:gridCol w:w="2137"/>
        <w:gridCol w:w="1215"/>
        <w:gridCol w:w="840"/>
        <w:gridCol w:w="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年加工7.2万吨花生油及浸出生产线改扩建项目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濮阳市广源油脂有限公司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 xml:space="preserve">  改扩建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lang w:eastAsia="zh-CN"/>
              </w:rPr>
              <w:t>√</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濮阳市南乐县产业集聚区傅潭路东段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en-US" w:eastAsia="zh-CN"/>
              </w:rPr>
              <w:t>花生油、花生粕、浸出油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72000吨花生油、175624.5吨花生粕、7324吨浸出油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72000吨花生油、175624.5吨花生粕、7324吨浸出油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19</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6</w:t>
            </w:r>
            <w:r>
              <w:rPr>
                <w:rFonts w:hint="default" w:ascii="Times New Roman" w:hAnsi="Times New Roman" w:cs="Times New Roman" w:eastAsiaTheme="minorEastAsia"/>
                <w:color w:val="000000"/>
                <w:sz w:val="24"/>
                <w:szCs w:val="24"/>
                <w:lang w:val="en-US" w:eastAsia="zh-CN"/>
              </w:rPr>
              <w:t>月</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2019年8月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1578" w:type="dxa"/>
            <w:vAlign w:val="center"/>
          </w:tcPr>
          <w:p>
            <w:pPr>
              <w:spacing w:after="0" w:afterLines="0"/>
              <w:jc w:val="cente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20.04.20~</w:t>
            </w:r>
          </w:p>
          <w:p>
            <w:pPr>
              <w:spacing w:after="0" w:afterLines="0"/>
              <w:jc w:val="center"/>
              <w:rPr>
                <w:rFonts w:hint="default" w:ascii="Times New Roman" w:hAnsi="Times New Roman" w:cs="Times New Roman" w:eastAsiaTheme="minorEastAsia"/>
                <w:color w:val="000000"/>
                <w:sz w:val="24"/>
                <w:szCs w:val="24"/>
                <w:highlight w:val="none"/>
                <w:lang w:val="en-US"/>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2020.10.16</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验收现场监测时间</w:t>
            </w:r>
          </w:p>
        </w:tc>
        <w:tc>
          <w:tcPr>
            <w:tcW w:w="2902" w:type="dxa"/>
            <w:gridSpan w:val="3"/>
            <w:vAlign w:val="center"/>
          </w:tcPr>
          <w:p>
            <w:pPr>
              <w:spacing w:after="0" w:afterLines="0"/>
              <w:jc w:val="cente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2020.05.15~2020.05.16</w:t>
            </w:r>
          </w:p>
          <w:p>
            <w:pPr>
              <w:spacing w:after="0" w:afterLines="0"/>
              <w:jc w:val="center"/>
              <w:rPr>
                <w:rFonts w:hint="default"/>
                <w:lang w:val="en-US" w:eastAsia="zh-CN"/>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2020.07.02~2020.07.03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南乐县</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环境保护局</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307" w:type="dxa"/>
            <w:vAlign w:val="center"/>
          </w:tcPr>
          <w:p>
            <w:pPr>
              <w:spacing w:after="0" w:afterLines="0"/>
              <w:jc w:val="center"/>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 xml:space="preserve"> </w:t>
            </w:r>
            <w:r>
              <w:rPr>
                <w:rFonts w:hint="default" w:ascii="Times New Roman" w:hAnsi="Times New Roman" w:cs="Times New Roman" w:eastAsiaTheme="minorEastAsia"/>
                <w:color w:val="auto"/>
                <w:sz w:val="24"/>
                <w:szCs w:val="24"/>
              </w:rPr>
              <w:t>环保设施设计单位</w:t>
            </w:r>
          </w:p>
        </w:tc>
        <w:tc>
          <w:tcPr>
            <w:tcW w:w="1578"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37"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902"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2000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72</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3.6</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72</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highlight w:val="none"/>
                <w:lang w:val="en-US" w:eastAsia="zh-CN"/>
              </w:rPr>
              <w:t>3.6</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项目概括</w:t>
            </w:r>
          </w:p>
        </w:tc>
        <w:tc>
          <w:tcPr>
            <w:tcW w:w="6617"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项目位于</w:t>
            </w:r>
            <w:r>
              <w:rPr>
                <w:rFonts w:hint="eastAsia" w:ascii="Times New Roman" w:hAnsi="Times New Roman" w:cs="Times New Roman" w:eastAsiaTheme="minorEastAsia"/>
                <w:sz w:val="24"/>
                <w:szCs w:val="24"/>
                <w:lang w:eastAsia="zh-CN"/>
              </w:rPr>
              <w:t>濮阳市南乐县产业集聚区傅潭路东段，</w:t>
            </w:r>
            <w:r>
              <w:rPr>
                <w:rFonts w:hint="eastAsia" w:ascii="Times New Roman" w:hAnsi="Times New Roman" w:cs="Times New Roman" w:eastAsiaTheme="minorEastAsia"/>
                <w:sz w:val="24"/>
                <w:szCs w:val="24"/>
                <w:lang w:val="en-US" w:eastAsia="zh-CN"/>
              </w:rPr>
              <w:t>南侧紧邻傅潭路，隔傅潭路为凯嘉工艺，北侧紧邻聚源路，隔聚源路为红高粱面业，西侧紧邻和美饲料，东侧紧邻隆盛生物。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项目总投资为</w:t>
            </w:r>
            <w:r>
              <w:rPr>
                <w:rFonts w:hint="eastAsia" w:ascii="Times New Roman" w:hAnsi="Times New Roman" w:cs="Times New Roman" w:eastAsiaTheme="minorEastAsia"/>
                <w:color w:val="auto"/>
                <w:sz w:val="24"/>
                <w:szCs w:val="24"/>
                <w:lang w:val="en-US" w:eastAsia="zh-CN"/>
              </w:rPr>
              <w:t>2000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lang w:val="en-US" w:eastAsia="zh-CN"/>
              </w:rPr>
              <w:t>72</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3.6</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116</w:t>
            </w:r>
            <w:r>
              <w:rPr>
                <w:rFonts w:hint="default" w:ascii="Times New Roman" w:hAnsi="Times New Roman" w:cs="Times New Roman" w:eastAsiaTheme="minorEastAsia"/>
                <w:sz w:val="24"/>
                <w:szCs w:val="24"/>
              </w:rPr>
              <w:t>人，</w:t>
            </w:r>
            <w:r>
              <w:rPr>
                <w:rFonts w:hint="eastAsia" w:ascii="Times New Roman" w:hAnsi="Times New Roman" w:cs="Times New Roman" w:eastAsiaTheme="minorEastAsia"/>
                <w:sz w:val="24"/>
                <w:szCs w:val="24"/>
                <w:lang w:eastAsia="zh-CN"/>
              </w:rPr>
              <w:t>每天</w:t>
            </w:r>
            <w:r>
              <w:rPr>
                <w:rFonts w:hint="eastAsia" w:ascii="Times New Roman" w:hAnsi="Times New Roman" w:cs="Times New Roman" w:eastAsiaTheme="minorEastAsia"/>
                <w:sz w:val="24"/>
                <w:szCs w:val="24"/>
                <w:lang w:val="en-US" w:eastAsia="zh-CN"/>
              </w:rPr>
              <w:t>3班工作，</w:t>
            </w:r>
            <w:r>
              <w:rPr>
                <w:rFonts w:hint="default" w:ascii="Times New Roman" w:hAnsi="Times New Roman" w:cs="Times New Roman" w:eastAsiaTheme="minorEastAsia"/>
                <w:sz w:val="24"/>
                <w:szCs w:val="24"/>
              </w:rPr>
              <w:t>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工作8小时，年工作300天。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竣工，竣工信息已于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网站公示；</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2020年10月16日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进行调试，于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10</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网站公示。</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w:t>
            </w:r>
            <w:r>
              <w:rPr>
                <w:rFonts w:hint="eastAsia" w:ascii="Times New Roman" w:hAnsi="Times New Roman" w:cs="Times New Roman" w:eastAsiaTheme="minorEastAsia"/>
                <w:sz w:val="24"/>
                <w:szCs w:val="24"/>
                <w:lang w:val="en-US" w:eastAsia="zh-CN"/>
              </w:rPr>
              <w:t>濮阳市广源油脂有限公司</w:t>
            </w:r>
            <w:r>
              <w:rPr>
                <w:rFonts w:hint="default" w:ascii="Times New Roman" w:hAnsi="Times New Roman" w:cs="Times New Roman" w:eastAsiaTheme="minorEastAsia"/>
                <w:sz w:val="24"/>
                <w:szCs w:val="24"/>
                <w:lang w:val="en-US" w:eastAsia="zh-CN"/>
              </w:rPr>
              <w:t>委托，洛阳黎明检测服务有限公司承担该项目的竣工环境保护验收监测工作。根据现场勘察及资料调研情况，洛阳黎明检测服务有限公司制定了该项目监测方案，并于</w:t>
            </w:r>
            <w:r>
              <w:rPr>
                <w:rFonts w:hint="default" w:ascii="Times New Roman" w:hAnsi="Times New Roman" w:cs="Times New Roman" w:eastAsiaTheme="minorEastAsia"/>
                <w:sz w:val="24"/>
                <w:szCs w:val="24"/>
                <w:highlight w:val="none"/>
                <w:lang w:val="en-US" w:eastAsia="zh-CN"/>
              </w:rPr>
              <w:t>20</w:t>
            </w:r>
            <w:r>
              <w:rPr>
                <w:rFonts w:hint="eastAsia" w:ascii="Times New Roman" w:hAnsi="Times New Roman" w:cs="Times New Roman" w:eastAsiaTheme="minorEastAsia"/>
                <w:sz w:val="24"/>
                <w:szCs w:val="24"/>
                <w:highlight w:val="none"/>
                <w:lang w:val="en-US" w:eastAsia="zh-CN"/>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5</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15</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16</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及2020年7月2日~3日</w:t>
            </w:r>
            <w:r>
              <w:rPr>
                <w:rFonts w:hint="default" w:ascii="Times New Roman" w:hAnsi="Times New Roman" w:cs="Times New Roman" w:eastAsiaTheme="minorEastAsia"/>
                <w:sz w:val="24"/>
                <w:szCs w:val="24"/>
                <w:lang w:val="en-US" w:eastAsia="zh-CN"/>
              </w:rPr>
              <w:t>依据国家有关环境监测技术规范进行了监测。针对该项目环保设施污染物排放浓度和排放总量的监测结果和现场情况的勘查，并依据有关国家标准，我公司编制了本监测报告。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94"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6617"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 《建设项目环境保护管理条例》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1.2 《建设项目竣工环境保护验收管理办法》 国家环境保护总局令第13号；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1.3《建设项目竣工环境保护验收暂行办法》国环规环评[2017]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1.4《关于发布〈建设项目竣工环境保护验收技术指南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1.5《</w:t>
            </w:r>
            <w:r>
              <w:rPr>
                <w:rFonts w:hint="eastAsia" w:ascii="Times New Roman" w:hAnsi="Times New Roman" w:cs="Times New Roman" w:eastAsiaTheme="minorEastAsia"/>
                <w:color w:val="000000"/>
                <w:sz w:val="24"/>
                <w:szCs w:val="24"/>
                <w:lang w:val="en-US" w:eastAsia="zh-CN"/>
              </w:rPr>
              <w:t>濮阳市广源油脂有限公司年加工7.2万吨花生油及浸出生产线改扩建项目</w:t>
            </w:r>
            <w:r>
              <w:rPr>
                <w:rFonts w:hint="default" w:ascii="Times New Roman" w:hAnsi="Times New Roman" w:cs="Times New Roman" w:eastAsiaTheme="minorEastAsia"/>
                <w:sz w:val="24"/>
                <w:szCs w:val="24"/>
                <w:lang w:val="en-US" w:eastAsia="zh-CN"/>
              </w:rPr>
              <w:t xml:space="preserve">环境影响报告表》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1.6 《</w:t>
            </w:r>
            <w:r>
              <w:rPr>
                <w:rFonts w:hint="eastAsia" w:ascii="Times New Roman" w:hAnsi="Times New Roman" w:cs="Times New Roman" w:eastAsiaTheme="minorEastAsia"/>
                <w:color w:val="000000"/>
                <w:sz w:val="24"/>
                <w:szCs w:val="24"/>
                <w:lang w:val="en-US" w:eastAsia="zh-CN"/>
              </w:rPr>
              <w:t>濮阳市广源油脂有限公司年加工7.2万吨花生油及浸出生产线改扩建项目</w:t>
            </w:r>
            <w:r>
              <w:rPr>
                <w:rFonts w:hint="default" w:ascii="Times New Roman" w:hAnsi="Times New Roman" w:cs="Times New Roman" w:eastAsiaTheme="minorEastAsia"/>
                <w:sz w:val="24"/>
                <w:szCs w:val="24"/>
                <w:lang w:val="en-US" w:eastAsia="zh-CN"/>
              </w:rPr>
              <w:t>环境影响报告表的批复》 （</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环境保护局，</w:t>
            </w:r>
            <w:r>
              <w:rPr>
                <w:rFonts w:hint="eastAsia" w:ascii="Times New Roman" w:hAnsi="Times New Roman" w:cs="Times New Roman" w:eastAsiaTheme="minorEastAsia"/>
                <w:sz w:val="24"/>
                <w:szCs w:val="24"/>
                <w:lang w:val="en-US" w:eastAsia="zh-CN"/>
              </w:rPr>
              <w:t>乐环审表[</w:t>
            </w:r>
            <w:r>
              <w:rPr>
                <w:rFonts w:hint="default" w:ascii="Times New Roman" w:hAnsi="Times New Roman" w:cs="Times New Roman" w:eastAsiaTheme="minorEastAsia"/>
                <w:sz w:val="24"/>
                <w:szCs w:val="24"/>
                <w:lang w:val="en-US" w:eastAsia="zh-CN"/>
              </w:rPr>
              <w:t>20</w:t>
            </w:r>
            <w:r>
              <w:rPr>
                <w:rFonts w:hint="eastAsia" w:ascii="Times New Roman" w:hAnsi="Times New Roman" w:cs="Times New Roman" w:eastAsiaTheme="minorEastAsia"/>
                <w:sz w:val="24"/>
                <w:szCs w:val="24"/>
                <w:lang w:val="en-US" w:eastAsia="zh-CN"/>
              </w:rPr>
              <w:t>19]46</w:t>
            </w:r>
            <w:r>
              <w:rPr>
                <w:rFonts w:hint="default" w:ascii="Times New Roman" w:hAnsi="Times New Roman" w:cs="Times New Roman" w:eastAsiaTheme="minorEastAsia"/>
                <w:sz w:val="24"/>
                <w:szCs w:val="24"/>
                <w:lang w:val="en-US" w:eastAsia="zh-CN"/>
              </w:rPr>
              <w:t>号，20</w:t>
            </w: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US" w:eastAsia="zh-CN"/>
              </w:rPr>
              <w:t>年</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US" w:eastAsia="zh-CN"/>
              </w:rPr>
              <w:t>月</w:t>
            </w:r>
            <w:r>
              <w:rPr>
                <w:rFonts w:hint="eastAsia" w:ascii="Times New Roman" w:hAnsi="Times New Roman" w:cs="Times New Roman" w:eastAsiaTheme="minorEastAsia"/>
                <w:sz w:val="24"/>
                <w:szCs w:val="24"/>
                <w:lang w:val="en-US" w:eastAsia="zh-CN"/>
              </w:rPr>
              <w:t>27</w:t>
            </w:r>
            <w:r>
              <w:rPr>
                <w:rFonts w:hint="default" w:ascii="Times New Roman" w:hAnsi="Times New Roman" w:cs="Times New Roman" w:eastAsiaTheme="minorEastAsia"/>
                <w:sz w:val="24"/>
                <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1.7 《河南省企业投资项目备案</w:t>
            </w:r>
            <w:r>
              <w:rPr>
                <w:rFonts w:hint="eastAsia" w:ascii="Times New Roman" w:hAnsi="Times New Roman" w:cs="Times New Roman" w:eastAsiaTheme="minorEastAsia"/>
                <w:sz w:val="24"/>
                <w:szCs w:val="24"/>
                <w:lang w:val="en-US" w:eastAsia="zh-CN"/>
              </w:rPr>
              <w:t>表</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发展和改革委员会备案，项目编号为：</w:t>
            </w:r>
            <w:r>
              <w:rPr>
                <w:rFonts w:hint="eastAsia" w:ascii="Times New Roman" w:hAnsi="Times New Roman" w:cs="Times New Roman" w:eastAsiaTheme="minorEastAsia"/>
                <w:sz w:val="24"/>
                <w:szCs w:val="24"/>
                <w:lang w:val="en-US" w:eastAsia="zh-CN"/>
              </w:rPr>
              <w:t>2018-410923-13-03-071208</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GB" w:eastAsia="zh-CN"/>
              </w:rPr>
              <w:t>一般工业固体废物贮存、处置执行《一般工业固体废物贮存、处置场污染控制标准》（GB18599-2001）及其修改单；</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lang w:val="en-US" w:eastAsia="zh-CN"/>
              </w:rPr>
            </w:pPr>
            <w:r>
              <w:rPr>
                <w:rFonts w:hint="eastAsia" w:ascii="Times New Roman" w:hAnsi="Times New Roman" w:cs="Times New Roman" w:eastAsiaTheme="minorEastAsia"/>
                <w:sz w:val="24"/>
                <w:szCs w:val="24"/>
                <w:lang w:val="en-US" w:eastAsia="zh-CN"/>
              </w:rPr>
              <w:t>1.9危险废物执行《危险废物贮存污染控制标准》（GB18597-2001）及其修改单。</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p>
        </w:tc>
      </w:tr>
    </w:tbl>
    <w:p>
      <w:pPr>
        <w:spacing w:after="0" w:afterLines="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br w:type="page"/>
      </w:r>
    </w:p>
    <w:tbl>
      <w:tblPr>
        <w:tblStyle w:val="12"/>
        <w:tblW w:w="90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-346075</wp:posOffset>
                      </wp:positionV>
                      <wp:extent cx="514350" cy="285750"/>
                      <wp:effectExtent l="0" t="0" r="0" b="0"/>
                      <wp:wrapNone/>
                      <wp:docPr id="2" name="文本框 2"/>
                      <wp:cNvGraphicFramePr/>
                      <a:graphic xmlns:a="http://schemas.openxmlformats.org/drawingml/2006/main">
                        <a:graphicData uri="http://schemas.microsoft.com/office/word/2010/wordprocessingShape">
                          <wps:wsp>
                            <wps:cNvSpPr txBox="1"/>
                            <wps:spPr>
                              <a:xfrm>
                                <a:off x="1160780" y="552450"/>
                                <a:ext cx="51435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default" w:ascii="Times New Roman" w:hAnsi="Times New Roman" w:eastAsia="宋体" w:cs="Times New Roman"/>
                                      <w:b/>
                                      <w:color w:val="000000"/>
                                      <w:sz w:val="24"/>
                                      <w:szCs w:val="24"/>
                                    </w:rPr>
                                    <w:t>表二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pt;margin-top:-27.25pt;height:22.5pt;width:40.5pt;z-index:251658240;mso-width-relative:page;mso-height-relative:page;" fillcolor="#FFFFFF [3201]" filled="t" stroked="f" coordsize="21600,21600" o:gfxdata="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75hW1AAAAAkB&#10;AAAPAAAAAAAAAAEAIAAAACIAAABkcnMvZG93bnJldi54bWxQSwECFAAUAAAACACHTuJARHwxBVgC&#10;AACZBAAADgAAAAAAAAABACAAAAAjAQAAZHJzL2Uyb0RvYy54bWxQSwUGAAAAAAYABgBZAQAA7QUA&#10;AAAA&#10;">
                      <v:fill on="t" focussize="0,0"/>
                      <v:stroke on="f" weight="0.5pt"/>
                      <v:imagedata o:title=""/>
                      <o:lock v:ext="edit" aspectratio="f"/>
                      <v:textbox>
                        <w:txbxContent>
                          <w:p>
                            <w:r>
                              <w:rPr>
                                <w:rFonts w:hint="default" w:ascii="Times New Roman" w:hAnsi="Times New Roman" w:eastAsia="宋体" w:cs="Times New Roman"/>
                                <w:b/>
                                <w:color w:val="000000"/>
                                <w:sz w:val="24"/>
                                <w:szCs w:val="24"/>
                              </w:rPr>
                              <w:t>表二</w:t>
                            </w:r>
                          </w:p>
                        </w:txbxContent>
                      </v:textbox>
                    </v:shape>
                  </w:pict>
                </mc:Fallback>
              </mc:AlternateContent>
            </w:r>
            <w:r>
              <w:rPr>
                <w:rFonts w:hint="default" w:ascii="Times New Roman" w:hAnsi="Times New Roman" w:cs="Times New Roman" w:eastAsiaTheme="minorEastAsia"/>
                <w:sz w:val="24"/>
                <w:szCs w:val="24"/>
                <w:lang w:val="en-US" w:eastAsia="zh-CN"/>
              </w:rPr>
              <w:t>2.1工程概括</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项目位于濮阳市南乐县产业集聚区傅潭路东段，南侧紧邻傅潭路，隔傅潭路为凯嘉工艺；北侧紧邻聚源路，隔聚源路为红高粱面业；西侧紧邻和美饲料；东侧紧邻隆盛生物。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项目总投资为2000万元，环保投资为72万元，占总投资的3.6%。本项目劳动定员116人，每天3班工作，每班工作8小时，年工作300天。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w:t>
            </w:r>
          </w:p>
          <w:p>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表</w:t>
            </w:r>
            <w:r>
              <w:rPr>
                <w:rFonts w:hint="default" w:ascii="Times New Roman" w:hAnsi="Times New Roman" w:cs="Times New Roman" w:eastAsiaTheme="minorEastAsia"/>
                <w:sz w:val="24"/>
                <w:szCs w:val="24"/>
                <w:lang w:val="en-US" w:eastAsia="zh-CN"/>
              </w:rPr>
              <w:t>2-1</w:t>
            </w:r>
            <w:r>
              <w:rPr>
                <w:rFonts w:hint="default" w:ascii="Times New Roman" w:hAnsi="Times New Roman" w:cs="Times New Roman" w:eastAsiaTheme="minorEastAsia"/>
                <w:sz w:val="24"/>
                <w:szCs w:val="24"/>
              </w:rPr>
              <w:t xml:space="preserve">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b/>
                      <w:sz w:val="21"/>
                      <w:szCs w:val="21"/>
                    </w:rPr>
                    <w:t>浸出油项目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膨化车间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预处理炒锅</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ZYC</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榨饼机</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320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进料刮板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32</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8"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包装车间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4</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麦式刮板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32</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5</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输送带</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5"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布袋式除尘器</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48</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7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7</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接包袋机</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D-100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卸车台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11"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8</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麦式刮板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9</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输送带</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10</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凉水塔</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GFRL-400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11</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事故池</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15M×12M×4M</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浸出车间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12</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除味塔</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100cm×600cm</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布袋式除尘器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48</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接包机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溶剂贮存罐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密封车间</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15M×18M</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pStyle w:val="17"/>
              <w:ind w:left="0" w:leftChars="0" w:firstLine="0" w:firstLineChars="0"/>
              <w:rPr>
                <w:rFonts w:ascii="Times New Roman" w:hAnsi="Times New Roman" w:eastAsiaTheme="minorEastAsia"/>
                <w:sz w:val="24"/>
                <w:szCs w:val="24"/>
              </w:rPr>
            </w:pPr>
          </w:p>
          <w:p>
            <w:pPr>
              <w:pStyle w:val="17"/>
              <w:ind w:left="0" w:leftChars="0" w:firstLine="480" w:firstLineChars="200"/>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拖链式浸出器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JT250A</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蒸脱机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DTC250×7</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密封旋转输送机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LSM35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旋液分离器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XY-NT-D15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长管蒸发器（第一蒸发器）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ZFQ120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长管蒸发器（第二蒸发器）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ZFQ40E1602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碟盘汽提塔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DQT80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列管冷凝器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WLN80×6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分水组合柜</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FSG200×600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尾气解析塔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JXT35S1601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尾气吸收塔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XST35×780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JRO10E1603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溶剂加热器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JRJ4B1603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石蜡加热器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JRL10E1602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蒸汽分配器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EPQ219S1608</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AG120×160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平衡塔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PHT35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湿式普集器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SPQ120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花生饼粉碎机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花生油项目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蒸炒锅</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ZYC</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高效清理筛</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TOLZ</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破碎机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PYJ</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密闭自动排查机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LYZ</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提升机1号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提升机2号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提升机3号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提升机4号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榨油机5台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磁力清选机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SCX</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括板</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MCWF</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立绞笼</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TL</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平绞笼</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轧胚机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除尘器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紫外线除味器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三缸泵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压缩机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刹克龙下料机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炼油锅</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D-20T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抽油泵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KCB-300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机动泵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KCB-83.3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T-2.5T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热水罐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碱罐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脱色真空泵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LZJZ-80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ISW100-160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循环水箱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T-4.0T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30(立方米)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脱色进油泵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4KW</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外罐区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外罐区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450吨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西库内罐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干燥塔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白土混合罐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干燥塔出油泵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ISW40-32-100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36(平方米)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布袋过滤器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PL-2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 xml:space="preserve">  80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D-8T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污油出油泵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RYH40-25-120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脱色暂存罐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D-20T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暂存罐出油泵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RYH40-25-120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空气压缩机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ZV-1.2/7</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饱和蒸汽发生器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ZD-4-0.4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脱臭进油泵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1号塔（脱臭）</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TD-65-80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1号出油泵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HPG5.5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2号塔（脱酸）</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TD-20-80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2号出油泵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HPG5.5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M-30平方米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M-50平方米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M-80平方米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脂肪酸捕集器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ZFP-10-1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M-10平方米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冷凝器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ZD-5-0.4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脂肪酸贮罐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四级蒸汽泵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ZP20+120-1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四级罗茨真空泵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JZIS-1200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真空水循环泵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IS150-125-315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冷却塔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GFRL-400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循环水泵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ZYWQ200-320-16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成品布袋过滤器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PL-4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YHCB-50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配电盘</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深井泵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工业洗衣机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SX500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三足离心机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SS800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压力罐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导热油泵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RY100-65-200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高位槽</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低位槽</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KDP50-16SX12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软水处理机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加压泵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IPG40-160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冷制机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TCA202CH</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IRG65-125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冷液箱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T-10T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搅拌罐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结晶罐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BMY/890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KCB-300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发电机组</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旋液分离器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TLXN.80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蒸汽分水器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SF.12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电动葫芦</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CD1T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白土定量装置</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PDL.16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水分配器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¢325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水喷射泵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PSB.320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压力罐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Pn-026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轻型立式多级离心泵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轻型立式多級离心泵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RY风冷式热油泵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共用设备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141</w:t>
                  </w:r>
                </w:p>
              </w:tc>
              <w:tc>
                <w:tcPr>
                  <w:tcW w:w="204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142</w:t>
                  </w:r>
                </w:p>
              </w:tc>
              <w:tc>
                <w:tcPr>
                  <w:tcW w:w="204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有机热载体炉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导热油炉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145</w:t>
                  </w:r>
                </w:p>
              </w:tc>
              <w:tc>
                <w:tcPr>
                  <w:tcW w:w="204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一级水处理</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146</w:t>
                  </w:r>
                </w:p>
              </w:tc>
              <w:tc>
                <w:tcPr>
                  <w:tcW w:w="204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二级水处理</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成品罐装线</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轻型立式多级离心机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灌装机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检验机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封口机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打包机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不锈钢链条传动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left"/>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4"/>
                <w:szCs w:val="24"/>
                <w:lang w:val="en-US" w:eastAsia="zh-CN"/>
              </w:rPr>
              <w:t>本项目生产设备与环评及批复一致。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64"/>
              <w:gridCol w:w="1620"/>
              <w:gridCol w:w="1636"/>
              <w:gridCol w:w="1636"/>
              <w:gridCol w:w="1307"/>
              <w:gridCol w:w="141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6"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4892"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72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50"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0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主体工程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精装车间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1层，钢架结构，建筑面积195m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5"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1层，钢架结构，建筑面积552m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碱炼车间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8"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预榨车间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初清车间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1层，钢架结构，建筑面积828m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进料车间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1层，钢架结构，建筑面积150m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原料库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1层，钢架结构，建筑面积6300m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1层，钢架结构，建筑面积810m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成品油罐区</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露天，建筑面积540m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成品暂存罐</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1层，钢架结构，建筑面积207m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4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包装材料库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1层，钢架结构，建筑面积182m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成品粕库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1层，钢架结构，建筑面积1125m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8"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办公楼及化验室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2层，砖混结构，建筑面积1200m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6"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3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真空泵室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2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建筑面积65m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1层，钢架结构，建筑面积150m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事故水池</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凉水池</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建筑面积400m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门卫室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公用工程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给水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产业集聚区管网供给</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排水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雨污分流</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供电</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产业集聚区电网供给</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供气</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产业集聚区燃气管网</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环保</w:t>
                  </w:r>
                  <w:r>
                    <w:rPr>
                      <w:rFonts w:hint="eastAsia" w:ascii="Times New Roman" w:hAnsi="Times New Roman" w:eastAsia="宋体" w:cs="Times New Roman"/>
                      <w:color w:val="000000"/>
                      <w:sz w:val="21"/>
                      <w:szCs w:val="21"/>
                      <w:lang w:val="en-US" w:eastAsia="zh-CN"/>
                    </w:rPr>
                    <w:t>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163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6T燃气锅炉废气</w:t>
                  </w:r>
                </w:p>
              </w:tc>
              <w:tc>
                <w:tcPr>
                  <w:tcW w:w="163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无袋式除尘器，与2T锅炉废气共用一根排气筒，实际为备用</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续表2-2      环评及批复阶段建设内容与实际建设内容一览表</w:t>
            </w:r>
          </w:p>
          <w:tbl>
            <w:tblPr>
              <w:tblStyle w:val="12"/>
              <w:tblW w:w="893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069"/>
              <w:gridCol w:w="1065"/>
              <w:gridCol w:w="1918"/>
              <w:gridCol w:w="2130"/>
              <w:gridCol w:w="1185"/>
              <w:gridCol w:w="156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06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5113"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753"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68" w:hRule="atLeast"/>
                <w:jc w:val="center"/>
              </w:trPr>
              <w:tc>
                <w:tcPr>
                  <w:tcW w:w="106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06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4048"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环保工程</w:t>
                  </w:r>
                </w:p>
              </w:tc>
              <w:tc>
                <w:tcPr>
                  <w:tcW w:w="106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10T燃气锅炉废气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无袋式除尘器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2T导热油炉废气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r>
                    <w:rPr>
                      <w:rFonts w:hint="eastAsia" w:ascii="Times New Roman" w:hAnsi="Times New Roman" w:eastAsia="宋体" w:cs="Times New Roman"/>
                      <w:color w:val="000000"/>
                      <w:sz w:val="21"/>
                      <w:szCs w:val="21"/>
                      <w:lang w:val="en-US" w:eastAsia="zh-CN"/>
                    </w:rPr>
                    <w:t>袋式除尘器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2T导热油炉废气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r>
                    <w:rPr>
                      <w:rFonts w:hint="eastAsia" w:ascii="Times New Roman" w:hAnsi="Times New Roman" w:eastAsia="宋体" w:cs="Times New Roman"/>
                      <w:color w:val="000000"/>
                      <w:sz w:val="21"/>
                      <w:szCs w:val="21"/>
                      <w:lang w:val="en-US" w:eastAsia="zh-CN"/>
                    </w:rPr>
                    <w:t>袋式除尘器，与6T共用一根排气筒，实际为备用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71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生产过程异味</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压榨车间紫外线除味+15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压榨车间实际为等离子光氧一体机设备（原理与紫外线除味器一致）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1"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1918"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浸出车间碱液</w:t>
                  </w:r>
                  <w:r>
                    <w:rPr>
                      <w:rFonts w:hint="default" w:ascii="Times New Roman" w:hAnsi="Times New Roman" w:eastAsia="宋体" w:cs="Times New Roman"/>
                      <w:color w:val="000000"/>
                      <w:sz w:val="21"/>
                      <w:szCs w:val="21"/>
                      <w:lang w:val="en-US" w:eastAsia="zh-CN"/>
                    </w:rPr>
                    <w:t>喷淋</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m排气筒1</w:t>
                  </w:r>
                  <w:r>
                    <w:rPr>
                      <w:rFonts w:hint="eastAsia" w:ascii="Times New Roman" w:hAnsi="Times New Roman" w:eastAsia="宋体" w:cs="Times New Roman"/>
                      <w:color w:val="000000"/>
                      <w:sz w:val="21"/>
                      <w:szCs w:val="21"/>
                      <w:lang w:val="en-US" w:eastAsia="zh-CN"/>
                    </w:rPr>
                    <w:t>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700"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918"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精炼车间碱液</w:t>
                  </w:r>
                  <w:r>
                    <w:rPr>
                      <w:rFonts w:hint="default" w:ascii="Times New Roman" w:hAnsi="Times New Roman" w:eastAsia="宋体" w:cs="Times New Roman"/>
                      <w:color w:val="000000"/>
                      <w:sz w:val="21"/>
                      <w:szCs w:val="21"/>
                      <w:lang w:val="en-US" w:eastAsia="zh-CN"/>
                    </w:rPr>
                    <w:t>喷淋</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m排气筒1</w:t>
                  </w:r>
                  <w:r>
                    <w:rPr>
                      <w:rFonts w:hint="eastAsia" w:ascii="Times New Roman" w:hAnsi="Times New Roman" w:eastAsia="宋体" w:cs="Times New Roman"/>
                      <w:color w:val="000000"/>
                      <w:sz w:val="21"/>
                      <w:szCs w:val="21"/>
                      <w:lang w:val="en-US" w:eastAsia="zh-CN"/>
                    </w:rPr>
                    <w:t>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花生饼上料输送粉尘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无组织</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实际为1套袋式除尘器+15m高排气筒</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花生粕称重粉尘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花生粕包装粉尘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890"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压榨车间花生米清理破碎蒸炒废气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旋风</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压榨车间花生米清理实际为旋风除尘器；压榨车间花生米破碎蒸炒废气即为压榨车间生产过程异味，所用设备为等离子光氧一体机设备</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续表2-2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74"/>
              <w:gridCol w:w="1395"/>
              <w:gridCol w:w="2092"/>
              <w:gridCol w:w="1733"/>
              <w:gridCol w:w="1080"/>
              <w:gridCol w:w="132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7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5220"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403"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环保工程</w:t>
                  </w:r>
                </w:p>
              </w:tc>
              <w:tc>
                <w:tcPr>
                  <w:tcW w:w="139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花生饼破碎粉尘</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浸出车间饼粕蒸脱、毛油蒸发、汽提等工序正己烷逸出产生的非甲烷总烃</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冷凝器回收</w:t>
                  </w:r>
                  <w:r>
                    <w:rPr>
                      <w:rFonts w:hint="eastAsia" w:ascii="Times New Roman" w:hAnsi="Times New Roman" w:eastAsia="宋体" w:cs="Times New Roman"/>
                      <w:color w:val="000000"/>
                      <w:sz w:val="21"/>
                      <w:szCs w:val="21"/>
                      <w:lang w:val="en-US" w:eastAsia="zh-CN"/>
                    </w:rPr>
                    <w:t>+光氧催化+活性炭吸附+15</w:t>
                  </w:r>
                  <w:r>
                    <w:rPr>
                      <w:rFonts w:hint="default" w:ascii="Times New Roman" w:hAnsi="Times New Roman" w:eastAsia="宋体" w:cs="Times New Roman"/>
                      <w:color w:val="000000"/>
                      <w:sz w:val="21"/>
                      <w:szCs w:val="21"/>
                      <w:lang w:val="en-US" w:eastAsia="zh-CN"/>
                    </w:rPr>
                    <w:t>m高排气筒</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w:t>
                  </w: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实际有冷凝器回收装置和旋风除尘器+碱液喷淋塔+15m高排气筒</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食堂油烟</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油烟</w:t>
                  </w:r>
                  <w:r>
                    <w:rPr>
                      <w:rFonts w:hint="default" w:ascii="Times New Roman" w:hAnsi="Times New Roman" w:eastAsia="宋体" w:cs="Times New Roman"/>
                      <w:color w:val="000000"/>
                      <w:sz w:val="21"/>
                      <w:szCs w:val="21"/>
                      <w:lang w:val="en-US" w:eastAsia="zh-CN"/>
                    </w:rPr>
                    <w:t>净化</w:t>
                  </w:r>
                  <w:r>
                    <w:rPr>
                      <w:rFonts w:hint="eastAsia" w:ascii="Times New Roman" w:hAnsi="Times New Roman" w:eastAsia="宋体" w:cs="Times New Roman"/>
                      <w:color w:val="000000"/>
                      <w:sz w:val="21"/>
                      <w:szCs w:val="21"/>
                      <w:lang w:val="en-US" w:eastAsia="zh-CN"/>
                    </w:rPr>
                    <w:t>装置+高于</w:t>
                  </w:r>
                  <w:r>
                    <w:rPr>
                      <w:rFonts w:hint="default" w:ascii="Times New Roman" w:hAnsi="Times New Roman" w:eastAsia="宋体" w:cs="Times New Roman"/>
                      <w:color w:val="000000"/>
                      <w:sz w:val="21"/>
                      <w:szCs w:val="21"/>
                      <w:lang w:val="en-US" w:eastAsia="zh-CN"/>
                    </w:rPr>
                    <w:t>屋顶排放</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污水处理站恶臭</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污水处理设施采用半地埋式，可能产生异味的池体分别设置空气管，加强绿化</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sz w:val="21"/>
                      <w:szCs w:val="21"/>
                      <w:lang w:val="en-US" w:eastAsia="zh-CN"/>
                    </w:rPr>
                    <w:t>废水治理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生活污水和生产废水</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sz w:val="21"/>
                      <w:szCs w:val="21"/>
                      <w:lang w:val="en-US" w:eastAsia="zh-CN"/>
                    </w:rPr>
                    <w:t>生活污水经化粪池预处理后与生产废水一同进入厂区污水处理站（AO工艺）处理达标后排入南乐县污水处理厂进行进一步处理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固废治理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脱色工段废白土、精炼车间油脚、滤渣、污水处理站隔油池油泥、包装材料</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固废堆场暂存，定期外售</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污水站污泥</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南乐县垃圾填埋场填埋</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生活垃圾</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收集后交由环卫部门统一处理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废树脂、废导热油、废灯管</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危废暂存间暂存，有资质单位回收处理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噪声治理</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kern w:val="2"/>
                      <w:sz w:val="21"/>
                      <w:szCs w:val="21"/>
                      <w:lang w:val="en-US" w:eastAsia="zh-CN" w:bidi="ar-SA"/>
                    </w:rPr>
                    <w:t>基础减振、隔声、消声</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环境风险</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油罐区地面硬化并设置围堰，同时建设300 m</w:t>
                  </w:r>
                  <w:r>
                    <w:rPr>
                      <w:rFonts w:hint="eastAsia" w:ascii="Times New Roman" w:hAnsi="Times New Roman" w:eastAsia="宋体" w:cs="Times New Roman"/>
                      <w:color w:val="000000"/>
                      <w:kern w:val="2"/>
                      <w:sz w:val="21"/>
                      <w:szCs w:val="21"/>
                      <w:vertAlign w:val="superscript"/>
                      <w:lang w:val="en-US" w:eastAsia="zh-CN" w:bidi="ar-SA"/>
                    </w:rPr>
                    <w:t>3</w:t>
                  </w:r>
                  <w:r>
                    <w:rPr>
                      <w:rFonts w:hint="eastAsia" w:ascii="Times New Roman" w:hAnsi="Times New Roman" w:eastAsia="宋体" w:cs="Times New Roman"/>
                      <w:color w:val="000000"/>
                      <w:kern w:val="2"/>
                      <w:sz w:val="21"/>
                      <w:szCs w:val="21"/>
                      <w:lang w:val="en-US" w:eastAsia="zh-CN" w:bidi="ar-SA"/>
                    </w:rPr>
                    <w:t>事故废水收集池</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无</w:t>
                  </w:r>
                </w:p>
              </w:tc>
            </w:tr>
          </w:tbl>
          <w:p>
            <w:pPr>
              <w:pStyle w:val="17"/>
              <w:ind w:left="0" w:leftChars="0" w:firstLine="480" w:firstLineChars="200"/>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本项目实际建设内容优于环评，更贴合实际生产。</w:t>
            </w:r>
          </w:p>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kern w:val="0"/>
                <w:sz w:val="24"/>
                <w:szCs w:val="24"/>
              </w:rPr>
            </w:pPr>
            <w:bookmarkStart w:id="0" w:name="_Toc8853"/>
            <w:bookmarkStart w:id="1" w:name="_Toc27832"/>
            <w:r>
              <w:rPr>
                <w:rFonts w:hint="eastAsia" w:ascii="Times New Roman" w:hAnsi="Times New Roman" w:eastAsia="宋体" w:cs="Times New Roman"/>
                <w:color w:val="000000"/>
                <w:sz w:val="24"/>
                <w:szCs w:val="24"/>
                <w:lang w:val="en-US" w:eastAsia="zh-CN"/>
              </w:rPr>
              <w:t>原辅材料：</w:t>
            </w:r>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kern w:val="0"/>
                <w:sz w:val="24"/>
                <w:szCs w:val="24"/>
              </w:rPr>
              <w:t>表</w:t>
            </w:r>
            <w:r>
              <w:rPr>
                <w:rFonts w:hint="default" w:ascii="Times New Roman" w:hAnsi="Times New Roman" w:cs="Times New Roman" w:eastAsiaTheme="minorEastAsia"/>
                <w:kern w:val="0"/>
                <w:sz w:val="24"/>
                <w:szCs w:val="24"/>
                <w:lang w:val="en-US" w:eastAsia="zh-CN"/>
              </w:rPr>
              <w:t>2-</w:t>
            </w:r>
            <w:r>
              <w:rPr>
                <w:rFonts w:hint="eastAsia" w:ascii="Times New Roman" w:hAnsi="Times New Roman" w:cs="Times New Roman" w:eastAsiaTheme="minorEastAsia"/>
                <w:kern w:val="0"/>
                <w:sz w:val="24"/>
                <w:szCs w:val="24"/>
                <w:lang w:val="en-US" w:eastAsia="zh-CN"/>
              </w:rPr>
              <w:t>3</w:t>
            </w:r>
            <w:r>
              <w:rPr>
                <w:rFonts w:hint="default" w:ascii="Times New Roman" w:hAnsi="Times New Roman" w:cs="Times New Roman" w:eastAsiaTheme="minorEastAsia"/>
                <w:kern w:val="0"/>
                <w:sz w:val="24"/>
                <w:szCs w:val="24"/>
              </w:rPr>
              <w:t xml:space="preserve">  项目主要原辅材料一览表</w:t>
            </w:r>
          </w:p>
          <w:tbl>
            <w:tblPr>
              <w:tblStyle w:val="12"/>
              <w:tblW w:w="8616" w:type="dxa"/>
              <w:jc w:val="center"/>
              <w:tblBorders>
                <w:top w:val="double" w:color="auto" w:sz="2" w:space="0"/>
                <w:left w:val="none" w:color="auto" w:sz="0" w:space="0"/>
                <w:bottom w:val="doub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775"/>
              <w:gridCol w:w="1090"/>
              <w:gridCol w:w="1404"/>
              <w:gridCol w:w="2638"/>
            </w:tblGrid>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5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序号</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名称</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单位</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lang w:eastAsia="zh-CN"/>
                    </w:rPr>
                    <w:t>年用</w:t>
                  </w:r>
                  <w:r>
                    <w:rPr>
                      <w:rFonts w:hint="default" w:ascii="Times New Roman" w:hAnsi="Times New Roman" w:eastAsia="宋体" w:cs="Times New Roman"/>
                      <w:b w:val="0"/>
                      <w:bCs w:val="0"/>
                      <w:sz w:val="24"/>
                      <w:u w:val="none"/>
                    </w:rPr>
                    <w:t>量</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备注</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1</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花生米</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180000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23"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default" w:ascii="Times New Roman" w:hAnsi="Times New Roman" w:eastAsia="宋体" w:cs="Times New Roman"/>
                      <w:b w:val="0"/>
                      <w:bCs w:val="0"/>
                      <w:sz w:val="24"/>
                      <w:u w:val="none"/>
                      <w:lang w:val="en-US" w:eastAsia="zh-CN"/>
                    </w:rPr>
                    <w:t>2</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脱色白土</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5</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87" w:hRule="atLeast"/>
                <w:jc w:val="center"/>
              </w:trPr>
              <w:tc>
                <w:tcPr>
                  <w:tcW w:w="70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3</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花生饼</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183102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4</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正己烷</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0.8</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5</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磷酸</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8</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6</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盐酸</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0.02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7</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氯化钠</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6</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8</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珍珠岩</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9</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水</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24240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产业集聚区自来水厂</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10</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电</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万kw·h</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225</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产业集聚区电网</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11</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天然气</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万m</w:t>
                  </w:r>
                  <w:r>
                    <w:rPr>
                      <w:rFonts w:hint="eastAsia" w:ascii="Times New Roman" w:hAnsi="Times New Roman" w:eastAsia="宋体" w:cs="Times New Roman"/>
                      <w:b w:val="0"/>
                      <w:bCs w:val="0"/>
                      <w:sz w:val="24"/>
                      <w:u w:val="none"/>
                      <w:vertAlign w:val="superscript"/>
                      <w:lang w:val="en-US" w:eastAsia="zh-CN"/>
                    </w:rPr>
                    <w:t>3</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1080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产业集聚区燃气管网</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sz w:val="24"/>
                <w:szCs w:val="24"/>
                <w:lang w:eastAsia="zh-CN"/>
              </w:rPr>
              <w:t>本项目原辅材料与环评及批复一致。</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eastAsia="zh-CN"/>
              </w:rPr>
            </w:pPr>
            <w:r>
              <w:rPr>
                <w:rFonts w:hint="eastAsia" w:ascii="Times New Roman" w:hAnsi="Times New Roman" w:cs="Times New Roman" w:eastAsiaTheme="minorEastAsia"/>
                <w:color w:val="auto"/>
                <w:sz w:val="24"/>
                <w:szCs w:val="24"/>
                <w:lang w:eastAsia="zh-CN"/>
              </w:rPr>
              <w:t>项目总投资为2000万元，环保投资为72万元，占总投资的3.6%。</w:t>
            </w:r>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2-4</w:t>
            </w:r>
            <w:r>
              <w:rPr>
                <w:rFonts w:hint="default" w:ascii="Times New Roman" w:hAnsi="Times New Roman" w:cs="Times New Roman" w:eastAsiaTheme="minorEastAsia"/>
                <w:sz w:val="24"/>
                <w:szCs w:val="24"/>
                <w:lang w:eastAsia="zh-CN"/>
              </w:rPr>
              <w:t>。</w:t>
            </w:r>
            <w:bookmarkEnd w:id="0"/>
            <w:bookmarkEnd w:id="1"/>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表</w:t>
            </w:r>
            <w:r>
              <w:rPr>
                <w:rFonts w:hint="eastAsia" w:ascii="Times New Roman" w:hAnsi="Times New Roman" w:cs="Times New Roman" w:eastAsiaTheme="minorEastAsia"/>
                <w:kern w:val="0"/>
                <w:sz w:val="24"/>
                <w:szCs w:val="24"/>
                <w:lang w:val="en-US" w:eastAsia="zh-CN"/>
              </w:rPr>
              <w:t xml:space="preserve">2-4  </w:t>
            </w:r>
            <w:r>
              <w:rPr>
                <w:rFonts w:hint="default" w:ascii="Times New Roman" w:hAnsi="Times New Roman" w:cs="Times New Roman" w:eastAsiaTheme="minorEastAsia"/>
                <w:kern w:val="0"/>
                <w:sz w:val="24"/>
                <w:szCs w:val="24"/>
              </w:rPr>
              <w:t>运营期环保投资一览表</w:t>
            </w:r>
          </w:p>
          <w:tbl>
            <w:tblPr>
              <w:tblStyle w:val="12"/>
              <w:tblW w:w="832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0"/>
              <w:gridCol w:w="790"/>
              <w:gridCol w:w="2070"/>
              <w:gridCol w:w="2640"/>
              <w:gridCol w:w="750"/>
              <w:gridCol w:w="131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620"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治理项目</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措施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数量</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投资（万元）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6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废气</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生产过程异味</w:t>
                  </w: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精炼车间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碱液喷淋塔+15m排气筒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w:t>
                  </w:r>
                  <w:r>
                    <w:rPr>
                      <w:rFonts w:hint="eastAsia" w:ascii="Times New Roman" w:hAnsi="Times New Roman" w:eastAsia="宋体" w:cs="Times New Roman"/>
                      <w:b w:val="0"/>
                      <w:bCs w:val="0"/>
                      <w:sz w:val="21"/>
                      <w:szCs w:val="21"/>
                      <w:u w:val="none"/>
                      <w:lang w:eastAsia="zh-CN"/>
                    </w:rPr>
                    <w:t>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压榨车间花生米破碎蒸炒废气</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紫外线除味器+15m排气筒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浸出车间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碱液喷淋塔+15m排气筒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花生米上料清理粉尘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旋风</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花生饼上料输送粉尘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花生粕称重粉尘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花生粕包装粉尘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花生饼破碎粉尘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浸出车间饼粕蒸脱、毛油蒸发、汽提等工序正己烷逸出产生的非甲烷总烃</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冷凝器回收</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p>
              </w:tc>
              <w:tc>
                <w:tcPr>
                  <w:tcW w:w="2860" w:type="dxa"/>
                  <w:gridSpan w:val="2"/>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锅炉废气</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低氮燃烧器+15m排气筒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860" w:type="dxa"/>
                  <w:gridSpan w:val="2"/>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低氮燃烧+15m排气筒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废水</w:t>
                  </w: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生活污水+生产废水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化粪池</w:t>
                  </w:r>
                  <w:r>
                    <w:rPr>
                      <w:rFonts w:hint="eastAsia" w:ascii="Times New Roman" w:hAnsi="Times New Roman" w:eastAsia="宋体" w:cs="Times New Roman"/>
                      <w:b w:val="0"/>
                      <w:bCs w:val="0"/>
                      <w:sz w:val="21"/>
                      <w:szCs w:val="21"/>
                      <w:u w:val="none"/>
                      <w:lang w:val="en-US" w:eastAsia="zh-CN"/>
                    </w:rPr>
                    <w:t>+</w:t>
                  </w:r>
                  <w:r>
                    <w:rPr>
                      <w:rFonts w:hint="eastAsia" w:ascii="Times New Roman" w:hAnsi="Times New Roman" w:eastAsia="宋体" w:cs="Times New Roman"/>
                      <w:b w:val="0"/>
                      <w:bCs w:val="0"/>
                      <w:sz w:val="21"/>
                      <w:szCs w:val="21"/>
                      <w:u w:val="none"/>
                      <w:lang w:eastAsia="zh-CN"/>
                    </w:rPr>
                    <w:t>“格栅调节+AO”</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30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噪声</w:t>
                  </w: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基础减振、厂房隔声、围墙</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7010" w:type="dxa"/>
                  <w:gridSpan w:val="5"/>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合计</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72</w:t>
                  </w:r>
                </w:p>
              </w:tc>
            </w:tr>
          </w:tbl>
          <w:p>
            <w:pPr>
              <w:pStyle w:val="17"/>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spacing w:before="62" w:beforeLines="20"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主要工艺流程及产物环节</w:t>
            </w:r>
            <w:r>
              <w:rPr>
                <w:rFonts w:hint="default" w:ascii="Times New Roman" w:hAnsi="Times New Roman" w:eastAsia="宋体" w:cs="Times New Roman"/>
                <w:color w:val="000000"/>
                <w:sz w:val="24"/>
                <w:szCs w:val="24"/>
              </w:rPr>
              <w:t>（附处理工艺流程图，标出产污节点）</w:t>
            </w:r>
          </w:p>
          <w:p>
            <w:pPr>
              <w:spacing w:before="62" w:beforeLines="20" w:line="36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w:t>
            </w:r>
            <w:r>
              <w:rPr>
                <w:rFonts w:hint="eastAsia" w:ascii="Times New Roman" w:hAnsi="Times New Roman" w:cs="Times New Roman" w:eastAsiaTheme="minorEastAsia"/>
                <w:sz w:val="24"/>
                <w:szCs w:val="24"/>
                <w:lang w:val="en-US" w:eastAsia="zh-CN"/>
              </w:rPr>
              <w:t>花生油生产工艺流程及产污环节</w:t>
            </w:r>
            <w:r>
              <w:rPr>
                <w:rFonts w:hint="default" w:ascii="Times New Roman" w:hAnsi="Times New Roman" w:cs="Times New Roman" w:eastAsiaTheme="minorEastAsia"/>
                <w:sz w:val="24"/>
                <w:szCs w:val="24"/>
                <w:lang w:eastAsia="zh-CN"/>
              </w:rPr>
              <w:t>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ascii="宋体" w:hAnsi="宋体" w:cs="宋体"/>
                <w:kern w:val="0"/>
                <w:sz w:val="24"/>
                <w:szCs w:val="24"/>
              </w:rPr>
              <w:fldChar w:fldCharType="begin"/>
            </w:r>
            <w:r>
              <w:rPr>
                <w:rFonts w:ascii="宋体" w:hAnsi="宋体" w:cs="宋体"/>
                <w:kern w:val="0"/>
                <w:sz w:val="24"/>
                <w:szCs w:val="24"/>
              </w:rPr>
              <w:instrText xml:space="preserve"> INCLUDEPICTURE "C:\\Users\\lenovo\\AppData\\Roaming\\Tencent\\Users\\1435303106\\QQ\\WinTemp\\RichOle\\CCJTUNYK``14@A(8V`DV5)G.png" \* MERGEFORMATINET </w:instrText>
            </w:r>
            <w:r>
              <w:rPr>
                <w:rFonts w:ascii="宋体" w:hAnsi="宋体" w:cs="宋体"/>
                <w:kern w:val="0"/>
                <w:sz w:val="24"/>
                <w:szCs w:val="24"/>
              </w:rPr>
              <w:fldChar w:fldCharType="separate"/>
            </w:r>
            <w:r>
              <w:rPr>
                <w:rFonts w:ascii="宋体" w:hAnsi="宋体" w:cs="宋体"/>
                <w:kern w:val="0"/>
                <w:sz w:val="24"/>
                <w:szCs w:val="24"/>
              </w:rPr>
              <w:drawing>
                <wp:inline distT="0" distB="0" distL="114300" distR="114300">
                  <wp:extent cx="5598795" cy="3314065"/>
                  <wp:effectExtent l="0" t="0" r="1905" b="635"/>
                  <wp:docPr id="3" name="图片 1" descr="CCJTUNYK``14@A(8V`DV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CJTUNYK``14@A(8V`DV5)G"/>
                          <pic:cNvPicPr>
                            <a:picLocks noChangeAspect="1"/>
                          </pic:cNvPicPr>
                        </pic:nvPicPr>
                        <pic:blipFill>
                          <a:blip r:embed="rId8"/>
                          <a:stretch>
                            <a:fillRect/>
                          </a:stretch>
                        </pic:blipFill>
                        <pic:spPr>
                          <a:xfrm>
                            <a:off x="0" y="0"/>
                            <a:ext cx="5598795" cy="3314065"/>
                          </a:xfrm>
                          <a:prstGeom prst="rect">
                            <a:avLst/>
                          </a:prstGeom>
                          <a:noFill/>
                          <a:ln>
                            <a:noFill/>
                          </a:ln>
                        </pic:spPr>
                      </pic:pic>
                    </a:graphicData>
                  </a:graphic>
                </wp:inline>
              </w:drawing>
            </w:r>
            <w:r>
              <w:rPr>
                <w:rFonts w:ascii="宋体" w:hAnsi="宋体" w:cs="宋体"/>
                <w:kern w:val="0"/>
                <w:sz w:val="24"/>
                <w:szCs w:val="24"/>
              </w:rPr>
              <w:fldChar w:fldCharType="end"/>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  本项目花生油生产工艺流程及产污环节</w:t>
            </w:r>
            <w:r>
              <w:rPr>
                <w:rFonts w:hint="default" w:ascii="Times New Roman" w:hAnsi="Times New Roman" w:cs="Times New Roman" w:eastAsiaTheme="minorEastAsia"/>
                <w:sz w:val="24"/>
                <w:szCs w:val="24"/>
                <w:lang w:val="en-US" w:eastAsia="zh-CN"/>
              </w:rPr>
              <w:t>图</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项目工艺流程简述：</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首先将原料花生米送至振动筛、去石机、磁选器去除轻杂、石子、铁钉等，再将清理后的花生米送入破碎机破碎，然后通过轧胚机轧胚，再经蒸炒锅（温度90~100℃）蒸炒。最后进入榨油机进行预榨，得到压榨毛油和花生饼，花生饼加工浸出，毛油</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过两次过滤后进行精炼。</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水洗工艺：又称水化，毛油由贮存罐经过过滤器，到毛油预热器加热，再经流量计进入水洗锅。磷酸通过磷酸桶进入水洗锅，大约洗60min后热水由热水罐进入水洗器，在水洗器内油水充分混合并水化，水化混合液经水化油加热器进入管式离心机分离油和磷脂油脚、废水（磷酸通过废水排出去进污水处理站），分出的油进入暂存罐。</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真空干燥工艺：水洗后的油经油-油热交换器预热，再经脱磷油加热器加热，然后进入脱溶锅脱除溶剂和水分。脱溶和脱水后的高温油进入上述油-油热交换器冷却，再经冷却器冷却后，进入成品油贮存灌。脱溶锅由四级蒸汽泵拉真空，分出的磷脂油脚流入粗磷脂贮罐。</w:t>
            </w:r>
          </w:p>
          <w:p>
            <w:pPr>
              <w:pStyle w:val="8"/>
              <w:ind w:firstLine="48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脱色工艺：脱色油分成两路，主流经换热器预热到90℃左右进入脱色塔；支流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before="181" w:beforeLines="50" w:after="0"/>
              <w:ind w:left="0" w:leftChars="0" w:firstLine="0" w:firstLineChars="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val="en-US" w:eastAsia="zh-CN"/>
              </w:rPr>
              <w:t>与白土定</w:t>
            </w:r>
            <w:r>
              <w:rPr>
                <w:rFonts w:hint="eastAsia" w:ascii="Times New Roman" w:hAnsi="Times New Roman" w:cs="Times New Roman" w:eastAsiaTheme="minorEastAsia"/>
                <w:sz w:val="24"/>
                <w:szCs w:val="24"/>
                <w:lang w:eastAsia="zh-CN"/>
              </w:rPr>
              <w:t>量器输入的白土在混合罐预混合，泵送入脱色塔，油和白土充分接触吸附。</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过滤工艺：脱色后的油和吸附剂的混合物，泵送入过滤机，除去白土后，冷却得到脱色油，留在虑机内的白土经蒸汽吹出其中的油以后自动排除。</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换热、脱臭工艺：待脱臭油经过滤器到析气器真空脱气后，由泵送到脱臭塔的热量回收段与脱臭后的热油进行热交换。然后进入脱臭塔，从上而下进行加热、汽提、热交换、冷却，然后用泵抽到过滤器，过滤后与抗氧化剂混合后送入贮罐。脱臭馏出的气体各段逸入塔旁的钢管中部进入真空系统。馏出的气体在脂肪酸捕集器中经较冷的臭味物质冷凝液喷淋捕集后，不冷凝气体被蒸汽喷射泵抽走，冷凝下来的臭味物质经冷却后，一部分送入喷淋，多余部分送入贮罐。留在脱臭塔旁直管内的蒸馏物有少部分自行冷凝液，排入接收罐。</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脱酸工艺：用碱中和油脂中的游离脂肪酸，所生成的皂吸附部分其他杂质，从油中沉降分离。</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val="en-US" w:eastAsia="zh-CN"/>
              </w:rPr>
              <w:t>精滤工艺（冷冻过滤）：根据磷脂等胶体分子和油脂分子熔点不同，当毛油温度逐渐降低到一定温度时，熔点较高的胶体分子首先结晶析出，此时在一定条件下过滤，析出的胶体因不能通过滤布而被截留与油脂分子分离。油经脱臭脱酸后冷却到室温，通过冷冻器冷到5℃左右，保持2.3~3小时，冷冻罐搅拌，搅拌速度为20转/分，冷却后的油通过有硅藻涂层的压滤，滤液即为成品油（0℃冷冻实验保持15分钟透明）。</w:t>
            </w:r>
          </w:p>
          <w:p>
            <w:pPr>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本项目浸出生产工艺流程及产污环节</w:t>
            </w:r>
            <w:r>
              <w:rPr>
                <w:rFonts w:hint="default" w:ascii="Times New Roman" w:hAnsi="Times New Roman" w:cs="Times New Roman" w:eastAsiaTheme="minorEastAsia"/>
                <w:sz w:val="24"/>
                <w:szCs w:val="24"/>
                <w:lang w:eastAsia="zh-CN"/>
              </w:rPr>
              <w:t>见图</w:t>
            </w:r>
            <w:r>
              <w:rPr>
                <w:rFonts w:hint="eastAsia" w:ascii="Times New Roman" w:hAnsi="Times New Roman" w:cs="Times New Roman" w:eastAsiaTheme="minorEastAsia"/>
                <w:sz w:val="24"/>
                <w:szCs w:val="24"/>
                <w:lang w:val="en-US" w:eastAsia="zh-CN"/>
              </w:rPr>
              <w:t>2。</w:t>
            </w:r>
          </w:p>
          <w:p>
            <w:pPr>
              <w:pStyle w:val="21"/>
              <w:spacing w:line="360" w:lineRule="auto"/>
              <w:jc w:val="center"/>
            </w:pPr>
            <w:r>
              <w:rPr>
                <w:rFonts w:ascii="宋体" w:hAnsi="宋体" w:cs="宋体"/>
                <w:kern w:val="0"/>
                <w:sz w:val="24"/>
                <w:szCs w:val="24"/>
              </w:rPr>
              <w:fldChar w:fldCharType="begin"/>
            </w:r>
            <w:r>
              <w:rPr>
                <w:rFonts w:ascii="宋体" w:hAnsi="宋体" w:cs="宋体"/>
                <w:kern w:val="0"/>
                <w:sz w:val="24"/>
                <w:szCs w:val="24"/>
              </w:rPr>
              <w:instrText xml:space="preserve"> INCLUDEPICTURE "C:\\Users\\lenovo\\AppData\\Roaming\\Tencent\\Users\\1435303106\\QQ\\WinTemp\\RichOle\\PAF@@OA0N~9HV9O(6`5()SP.png" \* MERGEFORMATINET </w:instrText>
            </w:r>
            <w:r>
              <w:rPr>
                <w:rFonts w:ascii="宋体" w:hAnsi="宋体" w:cs="宋体"/>
                <w:kern w:val="0"/>
                <w:sz w:val="24"/>
                <w:szCs w:val="24"/>
              </w:rPr>
              <w:fldChar w:fldCharType="separate"/>
            </w:r>
            <w:r>
              <w:rPr>
                <w:rFonts w:ascii="宋体" w:hAnsi="宋体" w:cs="宋体"/>
                <w:kern w:val="0"/>
                <w:sz w:val="24"/>
                <w:szCs w:val="24"/>
              </w:rPr>
              <w:drawing>
                <wp:inline distT="0" distB="0" distL="114300" distR="114300">
                  <wp:extent cx="5041900" cy="3294380"/>
                  <wp:effectExtent l="0" t="0" r="6350" b="1270"/>
                  <wp:docPr id="4" name="图片 1" descr="PAF@@OA0N~9HV9O(6`5()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PAF@@OA0N~9HV9O(6`5()SP"/>
                          <pic:cNvPicPr>
                            <a:picLocks noChangeAspect="1"/>
                          </pic:cNvPicPr>
                        </pic:nvPicPr>
                        <pic:blipFill>
                          <a:blip r:embed="rId9"/>
                          <a:stretch>
                            <a:fillRect/>
                          </a:stretch>
                        </pic:blipFill>
                        <pic:spPr>
                          <a:xfrm>
                            <a:off x="0" y="0"/>
                            <a:ext cx="5041900" cy="3294380"/>
                          </a:xfrm>
                          <a:prstGeom prst="rect">
                            <a:avLst/>
                          </a:prstGeom>
                          <a:noFill/>
                          <a:ln>
                            <a:noFill/>
                          </a:ln>
                        </pic:spPr>
                      </pic:pic>
                    </a:graphicData>
                  </a:graphic>
                </wp:inline>
              </w:drawing>
            </w:r>
            <w:r>
              <w:rPr>
                <w:rFonts w:ascii="宋体" w:hAnsi="宋体" w:cs="宋体"/>
                <w:kern w:val="0"/>
                <w:sz w:val="24"/>
                <w:szCs w:val="24"/>
              </w:rPr>
              <w:fldChar w:fldCharType="end"/>
            </w:r>
          </w:p>
          <w:p>
            <w:pPr>
              <w:pStyle w:val="21"/>
              <w:spacing w:line="360" w:lineRule="auto"/>
              <w:jc w:val="center"/>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rPr>
              <w:t xml:space="preserve">图2  </w:t>
            </w:r>
            <w:r>
              <w:rPr>
                <w:rFonts w:hint="eastAsia" w:ascii="Times New Roman" w:hAnsi="Times New Roman" w:eastAsia="宋体" w:cs="Times New Roman"/>
                <w:bCs/>
                <w:color w:val="auto"/>
                <w:lang w:eastAsia="zh-CN"/>
              </w:rPr>
              <w:t xml:space="preserve">  浸出生产工艺流程及产污环节图</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工艺流程说明简述：</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在利用原有生产工艺及设备的基础上，在破碎工艺后新增蒸炒、膨化工艺。蒸炒温度200℃，采用导热油炉加热，新增蒸炒工艺可对原料进行软化，破坏油料细胞结构，使蛋白质变性，磷脂吸水膨胀，达到入榨要求，提高出油率，降低磷脂含量；膨化温度115℃，采用导热油炉加热，膨化过程中油料受到挤压、加热、剪切、揉搓等作用，使油料细胞被彻底破坏，细胞内油脂充分外露，在油料挤压膨化机的模板出口处，骤然减压，水蒸汽蒸发，从而得到适度膨化的物料。</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Times New Roman" w:hAnsi="Times New Roman" w:cs="Times New Roman" w:eastAsiaTheme="minorEastAsia"/>
                <w:sz w:val="24"/>
                <w:szCs w:val="24"/>
                <w:lang w:val="en-US" w:eastAsia="zh-CN"/>
              </w:rPr>
              <w:t>再经存料箱、进料刮板、封闭纹龙进入平转浸出器，通过正己烷与物料的的逆向接触，将油脂从物料中转移到正已烷中去，滴干后湿粕从粕斗中排出进入圆盘下料器，经湿刮板送到湿柏脱溶工序进行处理，混合油进入混合油蒸发工序90-120分钟，50~55</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浸出后湿粕经刮板输送机送至脱溶蒸脱机，经预脱、自蒸、直接蒸汽脱溶（脱溶过程中被冷凝的溶剂经组合分水罐的分水侧进行溶剂与水的分离，分出的溶剂再回到组合分水罐的溶剂暂存侧然后经溶剂泵、溶剂预热器加热后进入浸出器继续使用，分水组合柜分出水进入蒸煮罐进行蒸馏处理，分水组合柜出水含部分正己烷溶剂，其中正己烷经加热后进入冷凝器进行冷凝回收利用，废水排入污水处理站）、间接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before="181" w:beforeLines="50" w:after="0"/>
              <w:ind w:left="0" w:leftChars="0" w:firstLine="0" w:firstLineChars="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汽干燥等工序处理，然后与冷却风机提供的冷空气接触降温，得到符合要求的花生成品粕。成品粕残溶70pp以下，含水12%以下，温度40℃左右，经刮板提升至平绞笼送入粕库进行计量、打包后出售。</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为防止正己烷逸出，冷凝器冷凝液出口温度不得高于40℃,平衡塔自由气体出口温度不高于25℃（夏季可稍高），冷却水出口温度不得高于35℃，分水组合柜的有效分水容积配备为0.4米2/10吨料，蒸煮罐温度不低于92℃，同时不得高于98℃，冷凝器每夭清扫一次，除去瞥壁上的泥浆和杂物，定期检查分水组合柜内存水量,保持正常存水量70%,最低不得低于1/3，除温度过高,垃圾过多,出水管堵塞等情况外，禁止从放空管放水，以防放出溶剂，定期检查水封池是否有溶剂溢出。水中如有溶剂，必须检查分水器，并及时修复。</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产污环节分析</w:t>
            </w:r>
          </w:p>
          <w:p>
            <w:pPr>
              <w:pStyle w:val="21"/>
              <w:keepNext w:val="0"/>
              <w:keepLines w:val="0"/>
              <w:pageBreakBefore w:val="0"/>
              <w:widowControl/>
              <w:numPr>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p>
        </w:tc>
      </w:tr>
    </w:tbl>
    <w:p>
      <w:pPr>
        <w:spacing w:line="360" w:lineRule="auto"/>
        <w:rPr>
          <w:rFonts w:hint="default" w:ascii="Times New Roman" w:hAnsi="Times New Roman" w:eastAsia="宋体" w:cs="Times New Roman"/>
          <w:color w:val="000000"/>
          <w:sz w:val="24"/>
          <w:szCs w:val="24"/>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宋体" w:cs="Times New Roman"/>
                <w:sz w:val="24"/>
                <w:szCs w:val="24"/>
                <w:lang w:val="en-US" w:eastAsia="zh-CN" w:bidi="ar-SA"/>
              </w:rPr>
            </w:pPr>
            <w:r>
              <w:rPr>
                <w:sz w:val="24"/>
              </w:rPr>
              <mc:AlternateContent>
                <mc:Choice Requires="wps">
                  <w:drawing>
                    <wp:anchor distT="0" distB="0" distL="114300" distR="114300" simplePos="0" relativeHeight="251660288" behindDoc="0" locked="0" layoutInCell="1" allowOverlap="1">
                      <wp:simplePos x="0" y="0"/>
                      <wp:positionH relativeFrom="column">
                        <wp:posOffset>183515</wp:posOffset>
                      </wp:positionH>
                      <wp:positionV relativeFrom="paragraph">
                        <wp:posOffset>-304800</wp:posOffset>
                      </wp:positionV>
                      <wp:extent cx="533400" cy="276225"/>
                      <wp:effectExtent l="0" t="0" r="0" b="9525"/>
                      <wp:wrapNone/>
                      <wp:docPr id="6" name="文本框 6"/>
                      <wp:cNvGraphicFramePr/>
                      <a:graphic xmlns:a="http://schemas.openxmlformats.org/drawingml/2006/main">
                        <a:graphicData uri="http://schemas.microsoft.com/office/word/2010/wordprocessingShape">
                          <wps:wsp>
                            <wps:cNvSpPr txBox="1"/>
                            <wps:spPr>
                              <a:xfrm>
                                <a:off x="1256030" y="644525"/>
                                <a:ext cx="533400"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5pt;margin-top:-24pt;height:21.75pt;width:42pt;z-index:251660288;mso-width-relative:page;mso-height-relative:page;" fillcolor="#FFFFFF [3201]" filled="t" stroked="f" coordsize="21600,21600" o:gfxdata="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MoKlXSAAAACQEA&#10;AA8AAAAAAAAAAQAgAAAAIgAAAGRycy9kb3ducmV2LnhtbFBLAQIUABQAAAAIAIdO4kCUCpRkWQIA&#10;AJkEAAAOAAAAAAAAAAEAIAAAACEBAABkcnMvZTJvRG9jLnhtbFBLBQYAAAAABgAGAFkBAADsBQAA&#10;AAA=&#10;">
                      <v:fill on="t" focussize="0,0"/>
                      <v:stroke on="f" weight="0.5pt"/>
                      <v:imagedata o:title=""/>
                      <o:lock v:ext="edit" aspectratio="f"/>
                      <v:textbo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v:textbox>
                    </v:shape>
                  </w:pict>
                </mc:Fallback>
              </mc:AlternateContent>
            </w:r>
            <w:r>
              <w:rPr>
                <w:rFonts w:hint="eastAsia" w:ascii="Times New Roman" w:hAnsi="Times New Roman" w:eastAsia="宋体" w:cs="Times New Roman"/>
                <w:sz w:val="24"/>
                <w:szCs w:val="24"/>
                <w:lang w:val="en-US" w:eastAsia="zh-CN" w:bidi="ar-SA"/>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脱色工段废白土、精炼车间油脚、滤渣、污水处理站隔油池油泥、包装材料集中收集后外售；污水站污泥南乐县垃圾填埋场填埋；生活垃圾圾集中收集后交由环卫部门统一处理；废树脂厂家回收；废导热油、废灯管收集后在危废暂存间暂存，定期由有资质单位回收处理。</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b/>
          <w:color w:val="000000"/>
          <w:sz w:val="24"/>
          <w:szCs w:val="24"/>
        </w:rPr>
      </w:pP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rPr>
      </w:pPr>
      <w:r>
        <w:rPr>
          <w:rFonts w:hint="default" w:ascii="Times New Roman" w:hAnsi="Times New Roman" w:eastAsia="宋体" w:cs="Times New Roman"/>
          <w:b/>
          <w:color w:val="000000"/>
          <w:sz w:val="24"/>
          <w:szCs w:val="24"/>
        </w:rPr>
        <w:t>表四</w:t>
      </w:r>
      <w:r>
        <w:rPr>
          <w:rFonts w:hint="eastAsia" w:ascii="Times New Roman" w:hAnsi="Times New Roman" w:eastAsia="宋体" w:cs="Times New Roman"/>
          <w:b/>
          <w:color w:val="000000"/>
          <w:sz w:val="24"/>
          <w:szCs w:val="24"/>
          <w:lang w:val="en-US" w:eastAsia="zh-CN"/>
        </w:rPr>
        <w:t xml:space="preserve"> </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8" w:hRule="atLeast"/>
          <w:jc w:val="center"/>
        </w:trPr>
        <w:tc>
          <w:tcPr>
            <w:tcW w:w="8924" w:type="dxa"/>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outlineLvl w:val="2"/>
              <w:rPr>
                <w:rFonts w:hint="eastAsia" w:ascii="宋体" w:hAnsi="宋体" w:eastAsia="宋体" w:cs="宋体"/>
                <w:sz w:val="24"/>
                <w:szCs w:val="24"/>
              </w:rPr>
            </w:pPr>
            <w:r>
              <w:rPr>
                <w:rFonts w:hint="eastAsia" w:ascii="宋体" w:hAnsi="宋体" w:eastAsia="宋体" w:cs="宋体"/>
                <w:sz w:val="24"/>
                <w:szCs w:val="24"/>
              </w:rPr>
              <w:t>建设项目环境影响报告表主要结论及审批部门审批决定：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废水主要为锅炉废水、精炼车间水洗废水、碱喷淋废水、车间地面冲洗废水、生活污水。锅炉废水作为清净下水经厂区总排口直接排入产业集聚区污水处理厂。生活污水经化粪池预处理后同生产废水一起排入经厂区污水处理设施处理，达到《污水综合排放标准》（GB8978-1996）表4三级标准和南乐县污水处理厂进水水质要求后排入永顺沟最后汇入徒骇河。全厂废水经污水处理厂处理后污染物浓度为COD 40mg/L、0.31t/a，氨氮2mg/L、0.016t/a，本工程新增污染物排放总量为COD0.11t/a、氨氮0.006t/a。</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2、环境空气影响分析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lang w:val="en-US" w:eastAsia="zh-CN"/>
              </w:rPr>
            </w:pPr>
            <w:r>
              <w:rPr>
                <w:rFonts w:hint="default" w:ascii="Times New Roman" w:hAnsi="Times New Roman" w:eastAsia="宋体" w:cs="Times New Roman"/>
                <w:sz w:val="24"/>
                <w:szCs w:val="24"/>
                <w:lang w:val="en-US" w:eastAsia="zh-CN"/>
              </w:rPr>
              <w:t>压榨车间花生米清理破碎蒸炒废气经集气罩收集后经旋风除尘器处理后通过15m高排气筒排放，满足《大气污染物综合排放标准》（GB16297-1996）表2标准要求；花生饼破碎粉尘集气罩收集后经旋风除尘器处理后通过15m高排气筒排放，满足《大气污染物综合排放标准》（GB16297-1996）表2标准要求；花生粕称重粉尘集气罩收集后经旋风除尘器处理后通过15m高排气筒排放，满足《大气污染物综合排放标准》（GB16297-1996）表2标准要求；花生粕包装粉尘集气罩收集后经旋风除尘器处理后通过15m高排气筒排放，满足《大气污染物综合排放标准》（GB16297-1996）表2标准要求；浸出车间饼粕蒸脱、毛油蒸发、汽提工序均使用冷凝器回收溶剂油，在冷凝过程中会有少量的汽体以不凝气形式排除，以非甲烷总烃计，经光氧催化+活性炭吸附后通过15m高排气筒排放，满足《大气污染物综合排放标准》（GB16297-1996）表2标准及豫环攻坚办【2017】162号关于全省开展工业企业挥发性有机物专项治理工作中其他行业的排放建议值要求；花生油中未在脱臭工艺中完全脱除的游离脂肪酸、低分子物质会在生产产过程中挥发，挥发量很少，挥发产物成分复杂，不属于对人体有危害的物质，且根据季节、温度、时间、工序的不同会有一定量的变化，难以定量，针对该部分异味，设除味塔对该部分异味进行处理，其中，浸出车间设碱液除味塔一座，压榨车间设紫外线除味器一套，精炼车间设碱液除味塔一座，处理后的气体经排气筒外排。4台锅炉废气均采用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49"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氮燃烧器进一步减少氮氧化物的产生量，采用高温袋式除尘器对颗粒物进行处理，处理后满足《河</w:t>
            </w:r>
            <w:r>
              <w:rPr>
                <w:rFonts w:hint="eastAsia" w:ascii="Times New Roman" w:hAnsi="Times New Roman" w:eastAsia="宋体" w:cs="Times New Roman"/>
                <w:color w:val="auto"/>
                <w:sz w:val="24"/>
                <w:szCs w:val="24"/>
                <w:lang w:val="en-US" w:eastAsia="zh-CN" w:bidi="ar-SA"/>
              </w:rPr>
              <w:t>南省生态环境厅关于印发河南省工业大气污染防治6个专项方案的通知》（豫环文[2019]84号）附件5河南省 2019 年度锅炉综合整治方案的要求，同时根据《锅炉大气污染物排放标准》（GB13271-2014），200m范围内有建筑物时，锅炉烟囱高度应高出最高建筑物3m以上，经调查，200m范围内最高建筑物高11.5m，故锅炉烟囱设置高度15m。</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经预测，本项目大气环境影响评价等级为二级。根据工程平面布置，扩建项目完成后，卫生防护距离范围为：东厂界外80m范围内，西厂界外50m范围内，北厂界外48m范围内，南侧外75m范围内。</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综上所述，本项目在采取以上环境保护措施后对周围环境空气影响不大。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3、声环境影响分析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本项目新增设备贡献值叠加现状背景值后，厂界噪声预测值在53.43～62.5dB(A)之间，南厂界可满足《工业企业厂界环境噪声排放标准》（GB12348－2008）4类标准要求，其它厂界可满足3类标准要求，对厂区周围声环境影响较小。评价建议定期检修高噪声设备，保持设备正常运行，进一步减少对周围环境的影响。</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4、固废环境影响</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本项目产生的固体废物主要为生活垃圾、脱色工段废白土、油脚、滤渣、隔油池油泥、包装废料、污泥、废导热油、废活性炭、废灯管、废催化板。生活垃圾集中收集后交由环卫部门统一处理；废树脂厂家回收；脱色工段废白土、油脚、滤渣、隔油池油泥集中收集后外售。污水站污泥南乐县垃圾填埋场填埋；废导热油、废活性炭、废灯管、废催化板收集后在危废暂存间暂存，定期由有资质单位回收处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通过采取上述治理措施后，项目营运期产生的固体废物对周边环境的影响很小。</w:t>
            </w:r>
          </w:p>
          <w:p>
            <w:pPr>
              <w:bidi w:val="0"/>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审批部门审批决定</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该项目属改扩建性质。在原项目基础上进行技改扩建。发改委备案总投资2000万元，其中环保投资72万元。</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lang w:val="en-US" w:eastAsia="zh-CN"/>
              </w:rPr>
            </w:pPr>
            <w:r>
              <w:rPr>
                <w:rFonts w:hint="eastAsia" w:ascii="Times New Roman" w:hAnsi="Times New Roman" w:eastAsia="宋体" w:cs="Times New Roman"/>
                <w:color w:val="auto"/>
                <w:sz w:val="24"/>
                <w:szCs w:val="24"/>
                <w:lang w:val="en-US" w:eastAsia="zh-CN" w:bidi="ar-SA"/>
              </w:rPr>
              <w:t>《报告表》内容符合国家有关法律法规要求和建设项目环境管理规定，评价结论可信，我局批准该《报告表》。原则同意你公司按照《报告表》所列项目的</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965"/>
              </w:tabs>
              <w:bidi w:val="0"/>
              <w:jc w:val="left"/>
              <w:rPr>
                <w:rFonts w:hint="eastAsia"/>
                <w:lang w:val="en-US" w:eastAsia="zh-CN"/>
              </w:rPr>
            </w:pPr>
            <w:r>
              <w:rPr>
                <w:rFonts w:hint="eastAsia"/>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性质、规模、地点、采用的生产工艺和环境保护对策进行项目建设。</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你公司应按照《建设项目环境影响评价信息公开机制方案》（环发[2015]162号）文件要求，主动向社会公开项目开工前、施工过程、建成后的信息，并接受相关方的咨询。</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你公司应全面落实《报告表》提出的各项环境保护措施，确保各项环境保护设施与主体工程同时设计、同时施工、同时投入使用，确保各项污染物达标排放。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（一）向设计单位提供《报告表》和本批复文件，确保项目设计按照环境保护设计规范要求，落实防治环境污染和生态破坏的措施以及环保设施投资概算。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（二）依据《报告表》和本批复文件，对项目建设过程中产生的废气、废水、固体废物、噪声等污染，以及因施工对自然、生态环境造成的破坏，采取相应的防治措施。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（三）项目运行时，外排污染物应满足以下要求：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1、《工业企业厂界环境噪声排放标准》（GB12348-2008）3类、4类；</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2、《锅炉大气污染物排放标准》（GB13271-2014）表3燃气锅炉限值；</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3、《大气污染物综合排放标准》（GB16297-1996）表2二级；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4、《污水综合排放标准》（GB16297-1996）表4三级及南乐县污水处理厂收水水质标准；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5、《河南省餐饮业油烟污染物排放标准》（DB41-1604-2018）表1小型；</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6、《恶臭污染物排放标准》（GB14554-93）表1二级；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7、《一般工业固体废物贮存、处置场污染控制标准》（GB18599-2001）及其修改单；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8、《危险废物贮存污染控制》（GB18597-2001）及其修改单。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9、环境风险防范。落实报告表中所提的风险防范措施，严防项目因安全事故引发的环境污染事件。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（四）本项目建成后，主要污染物排放量必须满足建设项目主要污染物总量控制指标要求（总量备案：4109000347）。</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（五）如果今后国家或我省颁布污染物排放限值的新标准，届时你单位应按新的排放标准执行。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40" w:firstLineChars="200"/>
              <w:textAlignment w:val="auto"/>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8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建设项目竣工后，建设单位应根据《建设项目竣工环境保护验收暂行办法》（国环规环评[2017]4号）文件要求，及时进行项目竣工环境保护验收，向县环保局备案并公示。项目建设及运行过程中，由南乐县产业集聚区环保监管所负责项目的环境监督管理工作。</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六、本批复有效期五年。项目的性质、规模、地点、采用的生产工艺或防治污染、防止生态破坏的措施发生重大变动的，应当重新报批项目的环境影响评价文件。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七、对此批复若有异议，可自该文下达之日起60日内向濮阳市环保局或南乐县人民政府申请复议，逾期复议无效。</w:t>
            </w:r>
          </w:p>
          <w:p>
            <w:pPr>
              <w:pStyle w:val="2"/>
              <w:rPr>
                <w:rFonts w:hint="default"/>
                <w:lang w:val="en-US" w:eastAsia="zh-CN"/>
              </w:rPr>
            </w:pPr>
          </w:p>
        </w:tc>
      </w:tr>
    </w:tbl>
    <w:p>
      <w:pPr>
        <w:spacing w:line="360" w:lineRule="auto"/>
        <w:rPr>
          <w:rFonts w:hint="default" w:ascii="Times New Roman" w:hAnsi="Times New Roman" w:eastAsia="宋体" w:cs="Times New Roman"/>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表五</w:t>
      </w:r>
    </w:p>
    <w:tbl>
      <w:tblPr>
        <w:tblStyle w:val="12"/>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62" w:type="dxa"/>
            <w:vAlign w:val="top"/>
          </w:tcPr>
          <w:p>
            <w:pPr>
              <w:spacing w:before="62" w:beforeLines="2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验收监测期间生产工况记录：</w:t>
            </w:r>
          </w:p>
          <w:p>
            <w:pPr>
              <w:pStyle w:val="2"/>
              <w:jc w:val="center"/>
              <w:rPr>
                <w:rFonts w:hint="default" w:ascii="Times New Roman" w:hAnsi="Times New Roman" w:cs="Times New Roman" w:eastAsiaTheme="minorEastAsia"/>
                <w:color w:val="000000"/>
                <w:sz w:val="24"/>
                <w:szCs w:val="24"/>
                <w:lang w:val="en-US" w:eastAsia="zh-CN" w:bidi="ar-SA"/>
              </w:rPr>
            </w:pPr>
            <w:bookmarkStart w:id="2" w:name="_Toc8169"/>
            <w:bookmarkStart w:id="3" w:name="_Toc25866"/>
            <w:bookmarkStart w:id="4" w:name="_Toc31240"/>
            <w:r>
              <w:rPr>
                <w:rFonts w:ascii="Times New Roman" w:hAnsi="Times New Roman" w:cs="Times New Roman" w:eastAsiaTheme="minorEastAsia"/>
                <w:color w:val="000000"/>
                <w:sz w:val="24"/>
                <w:szCs w:val="24"/>
                <w:lang w:val="en-US" w:eastAsia="zh-CN" w:bidi="ar-SA"/>
              </w:rPr>
              <w:t>表</w:t>
            </w:r>
            <w:r>
              <w:rPr>
                <w:rFonts w:hint="eastAsia" w:ascii="Times New Roman" w:hAnsi="Times New Roman" w:cs="Times New Roman" w:eastAsiaTheme="minorEastAsia"/>
                <w:color w:val="000000"/>
                <w:sz w:val="24"/>
                <w:szCs w:val="24"/>
                <w:lang w:val="en-US" w:eastAsia="zh-CN" w:bidi="ar-SA"/>
              </w:rPr>
              <w:t>5</w:t>
            </w:r>
            <w:r>
              <w:rPr>
                <w:rFonts w:ascii="Times New Roman" w:hAnsi="Times New Roman" w:cs="Times New Roman" w:eastAsiaTheme="minorEastAsia"/>
                <w:color w:val="000000"/>
                <w:sz w:val="24"/>
                <w:szCs w:val="24"/>
                <w:lang w:val="en-US" w:eastAsia="zh-CN" w:bidi="ar-SA"/>
              </w:rPr>
              <w:t>-1验收监测期间生产工况调查表</w:t>
            </w:r>
            <w:bookmarkEnd w:id="2"/>
            <w:bookmarkEnd w:id="3"/>
            <w:bookmarkEnd w:id="4"/>
          </w:p>
          <w:tbl>
            <w:tblPr>
              <w:tblStyle w:val="12"/>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693"/>
              <w:gridCol w:w="1920"/>
              <w:gridCol w:w="1735"/>
              <w:gridCol w:w="1543"/>
              <w:gridCol w:w="1789"/>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生产日期</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产品名称</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设计产量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实际产量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napToGrid w:val="0"/>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eastAsia" w:ascii="Times New Roman" w:hAnsi="Times New Roman" w:eastAsia="宋体" w:cs="Times New Roman"/>
                      <w:sz w:val="24"/>
                      <w:szCs w:val="24"/>
                      <w:u w:val="none"/>
                      <w:lang w:eastAsia="zh-CN"/>
                    </w:rPr>
                    <w:t>生产负荷（</w:t>
                  </w:r>
                  <w:r>
                    <w:rPr>
                      <w:rFonts w:hint="eastAsia" w:ascii="Times New Roman" w:hAnsi="Times New Roman" w:eastAsia="宋体" w:cs="Times New Roman"/>
                      <w:sz w:val="24"/>
                      <w:szCs w:val="24"/>
                      <w:u w:val="none"/>
                      <w:lang w:val="en-US" w:eastAsia="zh-CN"/>
                    </w:rPr>
                    <w:t>%</w:t>
                  </w:r>
                  <w:r>
                    <w:rPr>
                      <w:rFonts w:hint="eastAsia" w:ascii="Times New Roman" w:hAnsi="Times New Roman" w:eastAsia="宋体" w:cs="Times New Roman"/>
                      <w:sz w:val="24"/>
                      <w:szCs w:val="24"/>
                      <w:u w:val="non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restart"/>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eastAsia="zh-CN"/>
                    </w:rPr>
                  </w:pPr>
                  <w:r>
                    <w:rPr>
                      <w:rFonts w:hint="default" w:ascii="Times New Roman" w:hAnsi="Times New Roman" w:eastAsia="宋体" w:cs="Times New Roman"/>
                      <w:b/>
                      <w:bCs w:val="0"/>
                      <w:sz w:val="24"/>
                      <w:szCs w:val="24"/>
                      <w:u w:val="single"/>
                      <w:lang w:eastAsia="zh-CN"/>
                    </w:rPr>
                    <w:t>2020.5.15</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240</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200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83.33</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eastAsia="zh-CN"/>
                    </w:rPr>
                  </w:pPr>
                  <w:r>
                    <w:rPr>
                      <w:rFonts w:hint="eastAsia" w:ascii="Times New Roman" w:hAnsi="Times New Roman" w:eastAsia="宋体" w:cs="Times New Roman"/>
                      <w:b/>
                      <w:bCs w:val="0"/>
                      <w:sz w:val="24"/>
                      <w:szCs w:val="24"/>
                      <w:u w:val="thick"/>
                      <w:lang w:eastAsia="zh-CN"/>
                    </w:rPr>
                    <w:t>花生粕</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585.415</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500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85.41</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浸出油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24.413</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20.5</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83.97</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restart"/>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r>
                    <w:rPr>
                      <w:rFonts w:hint="default" w:ascii="Times New Roman" w:hAnsi="Times New Roman" w:eastAsia="宋体" w:cs="Times New Roman"/>
                      <w:b/>
                      <w:bCs w:val="0"/>
                      <w:sz w:val="24"/>
                      <w:szCs w:val="24"/>
                      <w:u w:val="single"/>
                      <w:lang w:eastAsia="zh-CN"/>
                    </w:rPr>
                    <w:t>2020.</w:t>
                  </w:r>
                  <w:r>
                    <w:rPr>
                      <w:rFonts w:hint="eastAsia" w:ascii="Times New Roman" w:hAnsi="Times New Roman" w:eastAsia="宋体" w:cs="Times New Roman"/>
                      <w:b/>
                      <w:bCs w:val="0"/>
                      <w:sz w:val="24"/>
                      <w:szCs w:val="24"/>
                      <w:u w:val="single"/>
                      <w:lang w:val="en-US" w:eastAsia="zh-CN"/>
                    </w:rPr>
                    <w:t>5.16</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240</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230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95.83</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花生粕</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585.415</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560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95.66</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浸出油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24.413</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23</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94.21</w:t>
                  </w:r>
                </w:p>
              </w:tc>
            </w:tr>
          </w:tbl>
          <w:p>
            <w:pPr>
              <w:spacing w:line="360" w:lineRule="auto"/>
              <w:rPr>
                <w:rFonts w:hint="default" w:ascii="Times New Roman" w:hAnsi="Times New Roman" w:eastAsiaTheme="minorEastAsia"/>
                <w:color w:val="000000"/>
                <w:sz w:val="24"/>
                <w:szCs w:val="24"/>
              </w:rPr>
            </w:pPr>
          </w:p>
          <w:p>
            <w:pPr>
              <w:spacing w:line="360" w:lineRule="auto"/>
              <w:ind w:firstLine="482" w:firstLineChars="200"/>
              <w:rPr>
                <w:rFonts w:ascii="Times New Roman" w:hAnsi="Times New Roman"/>
                <w:b/>
                <w:bCs/>
                <w:sz w:val="28"/>
                <w:szCs w:val="28"/>
                <w:u w:val="single"/>
              </w:rPr>
            </w:pPr>
            <w:r>
              <w:rPr>
                <w:rFonts w:ascii="Times New Roman" w:hAnsi="Times New Roman" w:eastAsiaTheme="minorEastAsia"/>
                <w:b/>
                <w:bCs/>
                <w:color w:val="000000"/>
                <w:sz w:val="24"/>
                <w:szCs w:val="24"/>
                <w:u w:val="single"/>
              </w:rPr>
              <w:t>由表</w:t>
            </w:r>
            <w:r>
              <w:rPr>
                <w:rFonts w:hint="eastAsia" w:ascii="Times New Roman" w:hAnsi="Times New Roman" w:eastAsiaTheme="minorEastAsia"/>
                <w:b/>
                <w:bCs/>
                <w:color w:val="000000"/>
                <w:sz w:val="24"/>
                <w:szCs w:val="24"/>
                <w:u w:val="single"/>
                <w:lang w:val="en-US" w:eastAsia="zh-CN"/>
              </w:rPr>
              <w:t>5-</w:t>
            </w:r>
            <w:r>
              <w:rPr>
                <w:rFonts w:ascii="Times New Roman" w:hAnsi="Times New Roman" w:eastAsiaTheme="minorEastAsia"/>
                <w:b/>
                <w:bCs/>
                <w:color w:val="000000"/>
                <w:sz w:val="24"/>
                <w:szCs w:val="24"/>
                <w:u w:val="single"/>
              </w:rPr>
              <w:t>1可知，本项目</w:t>
            </w:r>
            <w:r>
              <w:rPr>
                <w:rFonts w:hint="eastAsia" w:ascii="Times New Roman" w:hAnsi="Times New Roman" w:eastAsiaTheme="minorEastAsia"/>
                <w:b/>
                <w:bCs/>
                <w:color w:val="000000"/>
                <w:sz w:val="24"/>
                <w:szCs w:val="24"/>
                <w:u w:val="single"/>
                <w:lang w:eastAsia="zh-CN"/>
              </w:rPr>
              <w:t>花生油的</w:t>
            </w:r>
            <w:r>
              <w:rPr>
                <w:rFonts w:ascii="Times New Roman" w:hAnsi="Times New Roman" w:eastAsiaTheme="minorEastAsia"/>
                <w:b/>
                <w:bCs/>
                <w:color w:val="000000"/>
                <w:sz w:val="24"/>
                <w:szCs w:val="24"/>
                <w:u w:val="single"/>
              </w:rPr>
              <w:t>生产负荷为</w:t>
            </w:r>
            <w:r>
              <w:rPr>
                <w:rFonts w:hint="eastAsia" w:ascii="Times New Roman" w:hAnsi="Times New Roman" w:eastAsiaTheme="minorEastAsia"/>
                <w:b/>
                <w:bCs/>
                <w:color w:val="000000"/>
                <w:sz w:val="24"/>
                <w:szCs w:val="24"/>
                <w:u w:val="single"/>
                <w:lang w:val="en-US" w:eastAsia="zh-CN"/>
              </w:rPr>
              <w:t>83.33</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val="en-US" w:eastAsia="zh-CN"/>
              </w:rPr>
              <w:t>~95.83%</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eastAsia="zh-CN"/>
              </w:rPr>
              <w:t>花生粕的生产负荷为</w:t>
            </w:r>
            <w:r>
              <w:rPr>
                <w:rFonts w:hint="eastAsia" w:ascii="Times New Roman" w:hAnsi="Times New Roman" w:eastAsiaTheme="minorEastAsia"/>
                <w:b/>
                <w:bCs/>
                <w:color w:val="000000"/>
                <w:sz w:val="24"/>
                <w:szCs w:val="24"/>
                <w:u w:val="single"/>
                <w:lang w:val="en-US" w:eastAsia="zh-CN"/>
              </w:rPr>
              <w:t>85.41</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val="en-US" w:eastAsia="zh-CN"/>
              </w:rPr>
              <w:t>~95.66%，浸出油的生产负荷为83.97~94.21%，</w:t>
            </w:r>
            <w:r>
              <w:rPr>
                <w:rFonts w:ascii="Times New Roman" w:hAnsi="Times New Roman" w:eastAsiaTheme="minorEastAsia"/>
                <w:b/>
                <w:bCs/>
                <w:color w:val="000000"/>
                <w:sz w:val="24"/>
                <w:szCs w:val="24"/>
                <w:u w:val="single"/>
              </w:rPr>
              <w:t>满足国家对建设项目竣工环境保护验收监测期间生产负荷达到额定生产负荷75%以上的要求。验收监测</w:t>
            </w:r>
            <w:r>
              <w:rPr>
                <w:rFonts w:ascii="Times New Roman" w:hAnsi="Times New Roman" w:eastAsiaTheme="minorEastAsia"/>
                <w:b/>
                <w:bCs/>
                <w:color w:val="000000"/>
                <w:sz w:val="24"/>
                <w:szCs w:val="24"/>
                <w:u w:val="thick"/>
              </w:rPr>
              <w:t>期间，该项目生产稳定，生产及环保设施处于正常运转状态。</w:t>
            </w:r>
            <w:bookmarkStart w:id="5" w:name="_Toc2697_WPSOffice_Level2"/>
          </w:p>
          <w:bookmarkEnd w:id="5"/>
          <w:p>
            <w:pPr>
              <w:spacing w:before="62" w:beforeLines="20" w:line="360" w:lineRule="auto"/>
              <w:rPr>
                <w:rFonts w:hint="default" w:ascii="Times New Roman" w:hAnsi="Times New Roman" w:eastAsia="宋体" w:cs="Times New Roman"/>
                <w:color w:val="000000"/>
                <w:sz w:val="24"/>
                <w:szCs w:val="24"/>
              </w:rPr>
            </w:pPr>
          </w:p>
        </w:tc>
      </w:tr>
    </w:tbl>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eastAsia" w:ascii="Times New Roman" w:hAnsi="Times New Roman" w:eastAsia="宋体" w:cs="Times New Roman"/>
          <w:b/>
          <w:color w:val="000000"/>
          <w:sz w:val="24"/>
          <w:szCs w:val="24"/>
          <w:lang w:eastAsia="zh-CN"/>
        </w:rPr>
      </w:pPr>
      <w:r>
        <w:rPr>
          <w:rFonts w:hint="default" w:ascii="Times New Roman" w:hAnsi="Times New Roman" w:eastAsia="宋体" w:cs="Times New Roman"/>
          <w:b/>
          <w:color w:val="000000"/>
          <w:sz w:val="24"/>
          <w:szCs w:val="24"/>
        </w:rPr>
        <w:t>表</w:t>
      </w:r>
      <w:r>
        <w:rPr>
          <w:rFonts w:hint="eastAsia" w:ascii="Times New Roman" w:hAnsi="Times New Roman" w:eastAsia="宋体" w:cs="Times New Roman"/>
          <w:b/>
          <w:color w:val="000000"/>
          <w:sz w:val="24"/>
          <w:szCs w:val="24"/>
          <w:lang w:eastAsia="zh-CN"/>
        </w:rPr>
        <w:t>六</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4"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验收检测结论</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生产工况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Theme="minorEastAsia"/>
                <w:color w:val="000000"/>
                <w:sz w:val="24"/>
                <w:szCs w:val="24"/>
              </w:rPr>
            </w:pPr>
            <w:r>
              <w:rPr>
                <w:rFonts w:hint="default" w:ascii="Times New Roman" w:hAnsi="Times New Roman" w:eastAsia="宋体" w:cs="Times New Roman"/>
                <w:sz w:val="24"/>
                <w:szCs w:val="24"/>
                <w:lang w:val="en-US" w:eastAsia="zh-CN"/>
              </w:rPr>
              <w:t>验收监测期间，</w:t>
            </w:r>
            <w:r>
              <w:rPr>
                <w:rFonts w:hint="eastAsia" w:ascii="Times New Roman" w:hAnsi="Times New Roman" w:eastAsia="宋体" w:cs="Times New Roman"/>
                <w:sz w:val="24"/>
                <w:szCs w:val="24"/>
                <w:lang w:val="en-US" w:eastAsia="zh-CN"/>
              </w:rPr>
              <w:t>濮阳市广源油脂有限公司年加工7.2万吨花生油及浸出生产线改扩建项目</w:t>
            </w:r>
            <w:r>
              <w:rPr>
                <w:rFonts w:hint="eastAsia" w:ascii="Times New Roman" w:hAnsi="Times New Roman" w:eastAsiaTheme="minorEastAsia"/>
                <w:color w:val="000000"/>
                <w:sz w:val="24"/>
                <w:szCs w:val="24"/>
                <w:lang w:eastAsia="zh-CN"/>
              </w:rPr>
              <w:t>花生油的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83.33</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~95.83%</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eastAsia="zh-CN"/>
              </w:rPr>
              <w:t>花生粕的生产负荷为</w:t>
            </w:r>
            <w:r>
              <w:rPr>
                <w:rFonts w:hint="eastAsia" w:ascii="Times New Roman" w:hAnsi="Times New Roman" w:eastAsiaTheme="minorEastAsia"/>
                <w:color w:val="000000"/>
                <w:sz w:val="24"/>
                <w:szCs w:val="24"/>
                <w:lang w:val="en-US" w:eastAsia="zh-CN"/>
              </w:rPr>
              <w:t>85.41</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~95.66%，浸出油的生产负荷为83.97~94.21%，</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脱色工段废白土、精炼车间油脚、滤渣、污水处理站隔油池油泥、包装材料集中收集后外售；污水站污泥南乐县垃圾填埋场填埋；生活垃圾圾集中收集后交</w:t>
            </w:r>
            <w:r>
              <w:rPr>
                <w:rFonts w:hint="eastAsia" w:ascii="Times New Roman" w:hAnsi="Times New Roman" w:eastAsia="宋体" w:cs="Times New Roman"/>
                <w:bCs/>
                <w:color w:val="auto"/>
                <w:lang w:val="en-US" w:eastAsia="zh-CN"/>
              </w:rPr>
              <w:t>由环卫部门统一处理；废树脂厂家回收；废导热油、废灯管收集后在危废暂存间暂存，定期由有资质单位回收处理。</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zh-CN" w:eastAsia="zh-CN"/>
              </w:rPr>
              <w:t>建议</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 认真做好职工培训工作，严格持证上岗，生产过程中严格按操作规程，避免安全事故发生。</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rPr>
            </w:pPr>
            <w:r>
              <w:rPr>
                <w:rFonts w:hint="eastAsia" w:ascii="Times New Roman" w:hAnsi="Times New Roman" w:eastAsia="宋体" w:cs="Times New Roman"/>
                <w:sz w:val="24"/>
                <w:szCs w:val="24"/>
                <w:lang w:val="en-US" w:eastAsia="zh-CN"/>
              </w:rPr>
              <w:t>2. 做好本项目环境卫生工作，生活垃圾及时清运，危险废物暂存及时交由有资质单位处理，避免污染环境，做到安全文明生产。</w:t>
            </w:r>
          </w:p>
        </w:tc>
      </w:tr>
    </w:tbl>
    <w:p>
      <w:pPr>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6" w:name="_GoBack"/>
      <w:bookmarkEnd w:id="6"/>
    </w:p>
    <w:p>
      <w:pPr>
        <w:pStyle w:val="2"/>
        <w:ind w:left="0" w:leftChars="0" w:firstLine="0" w:firstLineChars="0"/>
        <w:rPr>
          <w:rFonts w:hint="default"/>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r>
      <w:rPr>
        <w:sz w:val="2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v:textbox>
            </v:shape>
          </w:pict>
        </mc:Fallback>
      </mc:AlternateContent>
    </w:r>
  </w:p>
  <w:p>
    <w:pPr>
      <w:pStyle w:val="9"/>
      <w:spacing w:after="0" w:afterLines="0"/>
      <w:ind w:right="360"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D6E18"/>
    <w:multiLevelType w:val="singleLevel"/>
    <w:tmpl w:val="BB1D6E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7B5653"/>
    <w:rsid w:val="01173F60"/>
    <w:rsid w:val="017D6CA3"/>
    <w:rsid w:val="01A3525A"/>
    <w:rsid w:val="01C573A0"/>
    <w:rsid w:val="01CE69B7"/>
    <w:rsid w:val="0303406F"/>
    <w:rsid w:val="032E1548"/>
    <w:rsid w:val="032E3F72"/>
    <w:rsid w:val="03C84C36"/>
    <w:rsid w:val="04D26498"/>
    <w:rsid w:val="05265F88"/>
    <w:rsid w:val="053717DB"/>
    <w:rsid w:val="05506F7A"/>
    <w:rsid w:val="05686074"/>
    <w:rsid w:val="05CD338F"/>
    <w:rsid w:val="061A4067"/>
    <w:rsid w:val="06B44735"/>
    <w:rsid w:val="07147EFF"/>
    <w:rsid w:val="07352645"/>
    <w:rsid w:val="07423D60"/>
    <w:rsid w:val="07A12C2E"/>
    <w:rsid w:val="08635CF9"/>
    <w:rsid w:val="08D61C30"/>
    <w:rsid w:val="08DD23E1"/>
    <w:rsid w:val="08EE32BE"/>
    <w:rsid w:val="08F64CD9"/>
    <w:rsid w:val="09906BC4"/>
    <w:rsid w:val="09C706B9"/>
    <w:rsid w:val="0A6B5D31"/>
    <w:rsid w:val="0A837E36"/>
    <w:rsid w:val="0A8B0203"/>
    <w:rsid w:val="0AB827E7"/>
    <w:rsid w:val="0BC279DF"/>
    <w:rsid w:val="0C265BEB"/>
    <w:rsid w:val="0CA07A79"/>
    <w:rsid w:val="0CAB1826"/>
    <w:rsid w:val="0CE03F72"/>
    <w:rsid w:val="0D466461"/>
    <w:rsid w:val="0D4E43D4"/>
    <w:rsid w:val="0D5A2F73"/>
    <w:rsid w:val="0D6E7157"/>
    <w:rsid w:val="0D845247"/>
    <w:rsid w:val="0E763E62"/>
    <w:rsid w:val="0E881532"/>
    <w:rsid w:val="0ED14B52"/>
    <w:rsid w:val="0EDA5F51"/>
    <w:rsid w:val="0EEF2EBC"/>
    <w:rsid w:val="0FD34CDC"/>
    <w:rsid w:val="1026318C"/>
    <w:rsid w:val="10304B67"/>
    <w:rsid w:val="104C0AD3"/>
    <w:rsid w:val="107B486D"/>
    <w:rsid w:val="11085CDB"/>
    <w:rsid w:val="115542C9"/>
    <w:rsid w:val="119B3E3E"/>
    <w:rsid w:val="11B235CE"/>
    <w:rsid w:val="123F4FD5"/>
    <w:rsid w:val="128E50D8"/>
    <w:rsid w:val="12B85737"/>
    <w:rsid w:val="12CB7AD0"/>
    <w:rsid w:val="130C6E22"/>
    <w:rsid w:val="1328489C"/>
    <w:rsid w:val="136F48BC"/>
    <w:rsid w:val="13CE3E80"/>
    <w:rsid w:val="14562CE8"/>
    <w:rsid w:val="14A55B9C"/>
    <w:rsid w:val="15415F10"/>
    <w:rsid w:val="1559787D"/>
    <w:rsid w:val="156D652C"/>
    <w:rsid w:val="15821AB9"/>
    <w:rsid w:val="16193C86"/>
    <w:rsid w:val="166D7ACF"/>
    <w:rsid w:val="16953F3F"/>
    <w:rsid w:val="172A5D09"/>
    <w:rsid w:val="17AF596C"/>
    <w:rsid w:val="17F776BA"/>
    <w:rsid w:val="17FE3677"/>
    <w:rsid w:val="18136281"/>
    <w:rsid w:val="189F08AC"/>
    <w:rsid w:val="18A37C02"/>
    <w:rsid w:val="18B502A0"/>
    <w:rsid w:val="1A5C00DF"/>
    <w:rsid w:val="1A7A58C8"/>
    <w:rsid w:val="1A8759DA"/>
    <w:rsid w:val="1AB02D8F"/>
    <w:rsid w:val="1B594D7A"/>
    <w:rsid w:val="1B723D9B"/>
    <w:rsid w:val="1BF7111B"/>
    <w:rsid w:val="1BF77544"/>
    <w:rsid w:val="1C230394"/>
    <w:rsid w:val="1C437785"/>
    <w:rsid w:val="1C7500B8"/>
    <w:rsid w:val="1C7F4B56"/>
    <w:rsid w:val="1CA102C1"/>
    <w:rsid w:val="1CC21AD1"/>
    <w:rsid w:val="1D013BAE"/>
    <w:rsid w:val="1D363A05"/>
    <w:rsid w:val="1DA11EE2"/>
    <w:rsid w:val="1DB1124D"/>
    <w:rsid w:val="1E0D53B9"/>
    <w:rsid w:val="1E4A1319"/>
    <w:rsid w:val="1E7C6A36"/>
    <w:rsid w:val="1EA115EC"/>
    <w:rsid w:val="1EAE08F0"/>
    <w:rsid w:val="1ED62A9F"/>
    <w:rsid w:val="1EFC3BD5"/>
    <w:rsid w:val="1F0A1AC7"/>
    <w:rsid w:val="1FC33575"/>
    <w:rsid w:val="2077529F"/>
    <w:rsid w:val="21040636"/>
    <w:rsid w:val="216C615E"/>
    <w:rsid w:val="22316876"/>
    <w:rsid w:val="22705165"/>
    <w:rsid w:val="22C26D10"/>
    <w:rsid w:val="22D418CD"/>
    <w:rsid w:val="232330D9"/>
    <w:rsid w:val="232D6FC8"/>
    <w:rsid w:val="23AD20AB"/>
    <w:rsid w:val="23F22175"/>
    <w:rsid w:val="25414AB8"/>
    <w:rsid w:val="25631DAE"/>
    <w:rsid w:val="25D8200F"/>
    <w:rsid w:val="25F86111"/>
    <w:rsid w:val="266C6CF5"/>
    <w:rsid w:val="269676B0"/>
    <w:rsid w:val="27095004"/>
    <w:rsid w:val="271A3600"/>
    <w:rsid w:val="27605608"/>
    <w:rsid w:val="276B20AD"/>
    <w:rsid w:val="27702AC1"/>
    <w:rsid w:val="27D04555"/>
    <w:rsid w:val="286D66E3"/>
    <w:rsid w:val="29234503"/>
    <w:rsid w:val="297E3824"/>
    <w:rsid w:val="29C73326"/>
    <w:rsid w:val="29D1110A"/>
    <w:rsid w:val="2A072AC1"/>
    <w:rsid w:val="2A0C2DA2"/>
    <w:rsid w:val="2A837F1E"/>
    <w:rsid w:val="2AC71F13"/>
    <w:rsid w:val="2B2C148D"/>
    <w:rsid w:val="2BE517C3"/>
    <w:rsid w:val="2BEA1C6B"/>
    <w:rsid w:val="2BF4747A"/>
    <w:rsid w:val="2C9E161C"/>
    <w:rsid w:val="2CC419CC"/>
    <w:rsid w:val="2CCC6D0E"/>
    <w:rsid w:val="2CEE10F3"/>
    <w:rsid w:val="2D7F382F"/>
    <w:rsid w:val="2E320779"/>
    <w:rsid w:val="2E7D5325"/>
    <w:rsid w:val="2EE102E6"/>
    <w:rsid w:val="30276E80"/>
    <w:rsid w:val="307F7A73"/>
    <w:rsid w:val="30A31F58"/>
    <w:rsid w:val="31065623"/>
    <w:rsid w:val="31254BE1"/>
    <w:rsid w:val="318A4E78"/>
    <w:rsid w:val="31E356F1"/>
    <w:rsid w:val="31E76069"/>
    <w:rsid w:val="32B97F04"/>
    <w:rsid w:val="33082041"/>
    <w:rsid w:val="33140ABE"/>
    <w:rsid w:val="331C3189"/>
    <w:rsid w:val="33261F0C"/>
    <w:rsid w:val="33301046"/>
    <w:rsid w:val="335D0A48"/>
    <w:rsid w:val="33C57A44"/>
    <w:rsid w:val="33E946FF"/>
    <w:rsid w:val="342510FF"/>
    <w:rsid w:val="34635EF6"/>
    <w:rsid w:val="3474213E"/>
    <w:rsid w:val="34BD1B0B"/>
    <w:rsid w:val="34C56CE9"/>
    <w:rsid w:val="34CE2E2A"/>
    <w:rsid w:val="34DE50CB"/>
    <w:rsid w:val="35306C61"/>
    <w:rsid w:val="358C02AD"/>
    <w:rsid w:val="35A92BB3"/>
    <w:rsid w:val="35E23F98"/>
    <w:rsid w:val="367F37CD"/>
    <w:rsid w:val="36913899"/>
    <w:rsid w:val="37DB47D3"/>
    <w:rsid w:val="380B3E2F"/>
    <w:rsid w:val="381806DA"/>
    <w:rsid w:val="383312CA"/>
    <w:rsid w:val="38B50264"/>
    <w:rsid w:val="39116E37"/>
    <w:rsid w:val="392723F5"/>
    <w:rsid w:val="39482434"/>
    <w:rsid w:val="394F2EE8"/>
    <w:rsid w:val="396147D8"/>
    <w:rsid w:val="39DB550F"/>
    <w:rsid w:val="3A301BFC"/>
    <w:rsid w:val="3A303DCE"/>
    <w:rsid w:val="3AE57AFA"/>
    <w:rsid w:val="3B5D096D"/>
    <w:rsid w:val="3B6C6045"/>
    <w:rsid w:val="3C5A5969"/>
    <w:rsid w:val="3C5D7E30"/>
    <w:rsid w:val="3C8A2A3B"/>
    <w:rsid w:val="3C8E65E7"/>
    <w:rsid w:val="3CDA4AB9"/>
    <w:rsid w:val="3D1D39FA"/>
    <w:rsid w:val="3DAE2F46"/>
    <w:rsid w:val="3E043055"/>
    <w:rsid w:val="3E3320B0"/>
    <w:rsid w:val="3E360520"/>
    <w:rsid w:val="3E56040C"/>
    <w:rsid w:val="3E6D1FF2"/>
    <w:rsid w:val="3EB6459D"/>
    <w:rsid w:val="3F273F3A"/>
    <w:rsid w:val="3F5178EA"/>
    <w:rsid w:val="3F9A7855"/>
    <w:rsid w:val="3FCD3E06"/>
    <w:rsid w:val="40DA23CD"/>
    <w:rsid w:val="41076326"/>
    <w:rsid w:val="41353B29"/>
    <w:rsid w:val="413B324E"/>
    <w:rsid w:val="415A3972"/>
    <w:rsid w:val="42DA6466"/>
    <w:rsid w:val="434103A3"/>
    <w:rsid w:val="437D5119"/>
    <w:rsid w:val="439754CD"/>
    <w:rsid w:val="43A11127"/>
    <w:rsid w:val="43DF4D58"/>
    <w:rsid w:val="441E6ADD"/>
    <w:rsid w:val="44C90DC4"/>
    <w:rsid w:val="44FF254A"/>
    <w:rsid w:val="45261FE9"/>
    <w:rsid w:val="45C67B00"/>
    <w:rsid w:val="45DA3CFB"/>
    <w:rsid w:val="46010EB9"/>
    <w:rsid w:val="473B1C4D"/>
    <w:rsid w:val="47D53012"/>
    <w:rsid w:val="47DE296D"/>
    <w:rsid w:val="481118C5"/>
    <w:rsid w:val="481B26C4"/>
    <w:rsid w:val="483B4E93"/>
    <w:rsid w:val="48611E7E"/>
    <w:rsid w:val="48893471"/>
    <w:rsid w:val="48A26120"/>
    <w:rsid w:val="48A4667D"/>
    <w:rsid w:val="48DF54EC"/>
    <w:rsid w:val="49F51916"/>
    <w:rsid w:val="4B086922"/>
    <w:rsid w:val="4B3D7A80"/>
    <w:rsid w:val="4B580D46"/>
    <w:rsid w:val="4C941BDA"/>
    <w:rsid w:val="4D494806"/>
    <w:rsid w:val="4F3051D6"/>
    <w:rsid w:val="4F985DD9"/>
    <w:rsid w:val="4FDD4197"/>
    <w:rsid w:val="50136C1A"/>
    <w:rsid w:val="50236670"/>
    <w:rsid w:val="507F5A5C"/>
    <w:rsid w:val="510C6A88"/>
    <w:rsid w:val="51636831"/>
    <w:rsid w:val="51C05705"/>
    <w:rsid w:val="523D7874"/>
    <w:rsid w:val="526A2D10"/>
    <w:rsid w:val="53B62A25"/>
    <w:rsid w:val="542B7DA0"/>
    <w:rsid w:val="545D54F4"/>
    <w:rsid w:val="56296931"/>
    <w:rsid w:val="563152A9"/>
    <w:rsid w:val="569A430A"/>
    <w:rsid w:val="572E13A6"/>
    <w:rsid w:val="576368E7"/>
    <w:rsid w:val="58030144"/>
    <w:rsid w:val="581C032E"/>
    <w:rsid w:val="581D31EA"/>
    <w:rsid w:val="5867074B"/>
    <w:rsid w:val="58F158FB"/>
    <w:rsid w:val="5A6A3108"/>
    <w:rsid w:val="5A7F72DE"/>
    <w:rsid w:val="5A9C58C0"/>
    <w:rsid w:val="5B171F2A"/>
    <w:rsid w:val="5B471E58"/>
    <w:rsid w:val="5B796437"/>
    <w:rsid w:val="5C013326"/>
    <w:rsid w:val="5C185980"/>
    <w:rsid w:val="5C1B4908"/>
    <w:rsid w:val="5C3C4E3B"/>
    <w:rsid w:val="5C8773E1"/>
    <w:rsid w:val="5CCF0F1B"/>
    <w:rsid w:val="5CDA6417"/>
    <w:rsid w:val="5D21664C"/>
    <w:rsid w:val="5D2C6665"/>
    <w:rsid w:val="5DA36AD6"/>
    <w:rsid w:val="5DCE1B6A"/>
    <w:rsid w:val="5E551838"/>
    <w:rsid w:val="5EBF294F"/>
    <w:rsid w:val="5FD24DC1"/>
    <w:rsid w:val="6027758D"/>
    <w:rsid w:val="60FB61B5"/>
    <w:rsid w:val="610F2308"/>
    <w:rsid w:val="61D674B2"/>
    <w:rsid w:val="621C5760"/>
    <w:rsid w:val="62232743"/>
    <w:rsid w:val="623D625D"/>
    <w:rsid w:val="626A4CBF"/>
    <w:rsid w:val="63373CF8"/>
    <w:rsid w:val="642534C1"/>
    <w:rsid w:val="642F096F"/>
    <w:rsid w:val="64604053"/>
    <w:rsid w:val="64692C19"/>
    <w:rsid w:val="64A93B31"/>
    <w:rsid w:val="64B90381"/>
    <w:rsid w:val="64EA2A94"/>
    <w:rsid w:val="6599534C"/>
    <w:rsid w:val="65AD54FF"/>
    <w:rsid w:val="66CE7C71"/>
    <w:rsid w:val="66D14B6D"/>
    <w:rsid w:val="675E7234"/>
    <w:rsid w:val="677C04DC"/>
    <w:rsid w:val="67924B3A"/>
    <w:rsid w:val="67A775E9"/>
    <w:rsid w:val="67AD3935"/>
    <w:rsid w:val="68CD17D3"/>
    <w:rsid w:val="691F153F"/>
    <w:rsid w:val="69882773"/>
    <w:rsid w:val="6A494B1B"/>
    <w:rsid w:val="6AAE5CBC"/>
    <w:rsid w:val="6AD513AC"/>
    <w:rsid w:val="6BFD183E"/>
    <w:rsid w:val="6C2402AB"/>
    <w:rsid w:val="6C5078B4"/>
    <w:rsid w:val="6C6956A9"/>
    <w:rsid w:val="6C9755A8"/>
    <w:rsid w:val="6CD34D4A"/>
    <w:rsid w:val="6CE96CBD"/>
    <w:rsid w:val="6E411CCE"/>
    <w:rsid w:val="6E541B0C"/>
    <w:rsid w:val="6EFB2512"/>
    <w:rsid w:val="6F994C20"/>
    <w:rsid w:val="6FEA7B2A"/>
    <w:rsid w:val="6FEF7DCF"/>
    <w:rsid w:val="6FF56280"/>
    <w:rsid w:val="704B5E8C"/>
    <w:rsid w:val="70E530CE"/>
    <w:rsid w:val="714F6A42"/>
    <w:rsid w:val="7161735E"/>
    <w:rsid w:val="72F064E2"/>
    <w:rsid w:val="7356192D"/>
    <w:rsid w:val="735C09E1"/>
    <w:rsid w:val="737A066C"/>
    <w:rsid w:val="73FC2978"/>
    <w:rsid w:val="74AF4FF9"/>
    <w:rsid w:val="74DC277E"/>
    <w:rsid w:val="75442423"/>
    <w:rsid w:val="75B40206"/>
    <w:rsid w:val="75F6776E"/>
    <w:rsid w:val="761C706B"/>
    <w:rsid w:val="76200069"/>
    <w:rsid w:val="76571A95"/>
    <w:rsid w:val="76771697"/>
    <w:rsid w:val="76FF27CC"/>
    <w:rsid w:val="77054404"/>
    <w:rsid w:val="77E96EB0"/>
    <w:rsid w:val="78087EFC"/>
    <w:rsid w:val="785F61F9"/>
    <w:rsid w:val="7936223A"/>
    <w:rsid w:val="79402E1A"/>
    <w:rsid w:val="795762B2"/>
    <w:rsid w:val="79A23E21"/>
    <w:rsid w:val="7A7709A0"/>
    <w:rsid w:val="7A9244B0"/>
    <w:rsid w:val="7AFE5058"/>
    <w:rsid w:val="7B5E7F01"/>
    <w:rsid w:val="7BE63927"/>
    <w:rsid w:val="7C045CF4"/>
    <w:rsid w:val="7C18497F"/>
    <w:rsid w:val="7C892CA4"/>
    <w:rsid w:val="7CE6515C"/>
    <w:rsid w:val="7D3D4624"/>
    <w:rsid w:val="7D5572F9"/>
    <w:rsid w:val="7D96523D"/>
    <w:rsid w:val="7DCD1FF0"/>
    <w:rsid w:val="7DF43AAB"/>
    <w:rsid w:val="7E0806F4"/>
    <w:rsid w:val="7E233768"/>
    <w:rsid w:val="7E745CDA"/>
    <w:rsid w:val="7EBC41FF"/>
    <w:rsid w:val="7F364151"/>
    <w:rsid w:val="7F57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Body Text"/>
    <w:basedOn w:val="1"/>
    <w:unhideWhenUsed/>
    <w:qFormat/>
    <w:uiPriority w:val="99"/>
    <w:pPr>
      <w:widowControl/>
      <w:jc w:val="left"/>
    </w:pPr>
    <w:rPr>
      <w:kern w:val="0"/>
      <w:sz w:val="28"/>
      <w:szCs w:val="20"/>
    </w:rPr>
  </w:style>
  <w:style w:type="paragraph" w:styleId="8">
    <w:name w:val="Body Text Indent"/>
    <w:basedOn w:val="1"/>
    <w:unhideWhenUsed/>
    <w:qFormat/>
    <w:uiPriority w:val="99"/>
    <w:pPr>
      <w:spacing w:line="360" w:lineRule="auto"/>
      <w:ind w:firstLine="525"/>
    </w:pPr>
    <w:rPr>
      <w:rFonts w:ascii="仿宋_GB2312" w:eastAsia="仿宋_GB2312"/>
      <w:sz w:val="24"/>
      <w:szCs w:val="20"/>
    </w:rPr>
  </w:style>
  <w:style w:type="paragraph" w:styleId="9">
    <w:name w:val="footer"/>
    <w:basedOn w:val="1"/>
    <w:qFormat/>
    <w:uiPriority w:val="0"/>
    <w:pPr>
      <w:tabs>
        <w:tab w:val="center" w:pos="4153"/>
        <w:tab w:val="right" w:pos="8306"/>
      </w:tabs>
    </w:pPr>
    <w:rPr>
      <w:rFonts w:ascii="Tahoma" w:hAnsi="Tahoma"/>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1"/>
    <w:qFormat/>
    <w:uiPriority w:val="0"/>
    <w:pPr>
      <w:spacing w:after="120" w:afterLines="0"/>
      <w:ind w:left="420" w:leftChars="200" w:firstLine="420"/>
    </w:pPr>
    <w:rPr>
      <w:rFonts w:ascii="Times New Roman" w:hAnsi="Times New Roman" w:eastAsia="宋体"/>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paragraph" w:customStyle="1" w:styleId="17">
    <w:name w:val="报告正文"/>
    <w:basedOn w:val="1"/>
    <w:qFormat/>
    <w:uiPriority w:val="0"/>
    <w:pPr>
      <w:spacing w:line="480" w:lineRule="exact"/>
      <w:ind w:firstLine="200" w:firstLineChars="200"/>
    </w:pPr>
    <w:rPr>
      <w:color w:val="000000"/>
      <w:sz w:val="24"/>
      <w:lang w:val="en-US" w:eastAsia="zh-CN"/>
    </w:rPr>
  </w:style>
  <w:style w:type="paragraph" w:customStyle="1" w:styleId="18">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9">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0">
    <w:name w:val="List Paragraph"/>
    <w:basedOn w:val="1"/>
    <w:qFormat/>
    <w:uiPriority w:val="99"/>
    <w:pPr>
      <w:ind w:firstLine="420" w:firstLineChars="200"/>
    </w:pPr>
  </w:style>
  <w:style w:type="paragraph" w:customStyle="1" w:styleId="21">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2">
    <w:name w:val="表格"/>
    <w:basedOn w:val="1"/>
    <w:qFormat/>
    <w:uiPriority w:val="0"/>
    <w:pPr>
      <w:keepNext/>
      <w:adjustRightInd w:val="0"/>
      <w:spacing w:line="312" w:lineRule="atLeast"/>
      <w:jc w:val="center"/>
      <w:textAlignment w:val="baseline"/>
    </w:pPr>
    <w:rPr>
      <w:kern w:val="0"/>
    </w:rPr>
  </w:style>
  <w:style w:type="paragraph" w:customStyle="1" w:styleId="23">
    <w:name w:val="book"/>
    <w:basedOn w:val="1"/>
    <w:qFormat/>
    <w:uiPriority w:val="0"/>
    <w:pPr>
      <w:spacing w:line="380" w:lineRule="exact"/>
      <w:jc w:val="center"/>
    </w:pPr>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Administrator</cp:lastModifiedBy>
  <cp:lastPrinted>2020-12-07T08:07:24Z</cp:lastPrinted>
  <dcterms:modified xsi:type="dcterms:W3CDTF">2020-12-07T08:18:51Z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